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D96B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563A">
        <w:rPr>
          <w:rFonts w:ascii="Times New Roman" w:eastAsia="Calibri" w:hAnsi="Times New Roman" w:cs="Times New Roman"/>
          <w:b/>
          <w:bCs/>
          <w:sz w:val="24"/>
          <w:szCs w:val="24"/>
        </w:rPr>
        <w:t>REPUBLIKA HRVATSKA</w:t>
      </w:r>
    </w:p>
    <w:p w14:paraId="0C33A774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563A">
        <w:rPr>
          <w:rFonts w:ascii="Times New Roman" w:eastAsia="Calibri" w:hAnsi="Times New Roman" w:cs="Times New Roman"/>
          <w:b/>
          <w:bCs/>
          <w:sz w:val="24"/>
          <w:szCs w:val="24"/>
        </w:rPr>
        <w:t>MINISTARSTVO FINANCIJA</w:t>
      </w:r>
    </w:p>
    <w:p w14:paraId="34ABCEDB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563A">
        <w:rPr>
          <w:rFonts w:ascii="Times New Roman" w:eastAsia="Calibri" w:hAnsi="Times New Roman" w:cs="Times New Roman"/>
          <w:b/>
          <w:bCs/>
          <w:sz w:val="24"/>
          <w:szCs w:val="24"/>
        </w:rPr>
        <w:t>DRŽAVNA RIZNICA</w:t>
      </w:r>
    </w:p>
    <w:p w14:paraId="3E2B6680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563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6CE3DD37" wp14:editId="7CAA65D6">
                <wp:extent cx="5761990" cy="75565"/>
                <wp:effectExtent l="0" t="0" r="635" b="635"/>
                <wp:docPr id="4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755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88C4E7"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" fillcolor="gray" stroked="f">
                <v:path arrowok="t"/>
                <v:textbox inset="0,0,0,0"/>
                <w10:anchorlock/>
              </v:rect>
            </w:pict>
          </mc:Fallback>
        </mc:AlternateContent>
      </w:r>
    </w:p>
    <w:p w14:paraId="22080628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E0F537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2BF9CC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1AF781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95D506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1A13C1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74C561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C4F43A" w14:textId="3D91B44C" w:rsidR="000D563A" w:rsidRPr="000D563A" w:rsidRDefault="000D563A" w:rsidP="006B510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DA34AD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23C85B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0A7B7E" w14:textId="4737A761" w:rsidR="00EC79A9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563A">
        <w:rPr>
          <w:rFonts w:ascii="Times New Roman" w:hAnsi="Times New Roman" w:cs="Times New Roman"/>
          <w:b/>
          <w:sz w:val="36"/>
          <w:szCs w:val="26"/>
        </w:rPr>
        <w:t>UPUTA ZA EVIDENTIRANJE ZAJMOVA OD MEĐUNARODNIH FINANCIJSKIH INSTITUCIJA U SUSTAVU DRŽAVNOG PRORAČUNA</w:t>
      </w:r>
    </w:p>
    <w:p w14:paraId="4F61150D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7178E0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370B75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F586D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02E08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E2B9FA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059A31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F912B4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4F797A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F42159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03FFA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934232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5F52FB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FF205A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1D0FF3" w14:textId="77777777" w:rsidR="00B56CF6" w:rsidRDefault="00B56CF6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F9C3B5" w14:textId="77777777" w:rsidR="00B56CF6" w:rsidRDefault="00B56CF6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18D013" w14:textId="77777777" w:rsidR="00EC79A9" w:rsidRPr="000D563A" w:rsidRDefault="00EC79A9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724F9A" w14:textId="77777777" w:rsidR="005B29ED" w:rsidRDefault="005B29ED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649133" w14:textId="77777777" w:rsidR="005B29ED" w:rsidRDefault="005B29ED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232B98" w14:textId="77777777" w:rsidR="005B29ED" w:rsidRDefault="005B29ED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6B3D5A" w14:textId="77777777" w:rsidR="005B29ED" w:rsidRPr="000D563A" w:rsidRDefault="005B29ED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9DAD3B" w14:textId="77777777" w:rsidR="000D563A" w:rsidRPr="000D563A" w:rsidRDefault="000D563A" w:rsidP="000D56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0B603C" w14:textId="77777777" w:rsidR="000D563A" w:rsidRPr="000D563A" w:rsidRDefault="000D563A" w:rsidP="000D5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563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3011C172" wp14:editId="34371240">
                <wp:extent cx="5761990" cy="75565"/>
                <wp:effectExtent l="0" t="0" r="635" b="635"/>
                <wp:docPr id="3" name="Horizontal 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755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AE441F" id="Horizontal Line 2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" fillcolor="gray" stroked="f">
                <v:path arrowok="t"/>
                <v:textbox inset="0,0,0,0"/>
                <w10:anchorlock/>
              </v:rect>
            </w:pict>
          </mc:Fallback>
        </mc:AlternateContent>
      </w:r>
    </w:p>
    <w:p w14:paraId="27E312F0" w14:textId="64A432CE" w:rsidR="00504E03" w:rsidRDefault="000D563A" w:rsidP="00EC79A9">
      <w:pPr>
        <w:spacing w:after="0"/>
        <w:jc w:val="center"/>
        <w:rPr>
          <w:rFonts w:eastAsia="Calibri" w:cs="Times New Roman"/>
          <w:b/>
          <w:sz w:val="32"/>
          <w:szCs w:val="24"/>
        </w:rPr>
      </w:pPr>
      <w:r w:rsidRPr="000D56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Zagreb, </w:t>
      </w:r>
      <w:r w:rsidR="00BE3D0B">
        <w:rPr>
          <w:rFonts w:ascii="Times New Roman" w:eastAsia="Calibri" w:hAnsi="Times New Roman" w:cs="Times New Roman"/>
          <w:b/>
          <w:bCs/>
          <w:sz w:val="24"/>
          <w:szCs w:val="24"/>
        </w:rPr>
        <w:t>siječanj</w:t>
      </w:r>
      <w:bookmarkStart w:id="0" w:name="_GoBack"/>
      <w:bookmarkEnd w:id="0"/>
      <w:r w:rsidR="00EC79A9" w:rsidRPr="000D56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E3D0B">
        <w:rPr>
          <w:rFonts w:ascii="Times New Roman" w:eastAsia="Calibri" w:hAnsi="Times New Roman" w:cs="Times New Roman"/>
          <w:b/>
          <w:bCs/>
          <w:sz w:val="24"/>
          <w:szCs w:val="24"/>
        </w:rPr>
        <w:t>2021</w:t>
      </w:r>
      <w:r w:rsidRPr="000D563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D563A">
        <w:rPr>
          <w:rFonts w:eastAsia="Calibri" w:cs="Times New Roman"/>
          <w:b/>
          <w:sz w:val="32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31687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B0BFA1" w14:textId="07BBB29A" w:rsidR="00794D57" w:rsidRDefault="00794D57">
          <w:pPr>
            <w:pStyle w:val="TOCNaslov"/>
          </w:pPr>
          <w:r>
            <w:t>Sadržaj</w:t>
          </w:r>
        </w:p>
        <w:p w14:paraId="09D4903C" w14:textId="4F6CC1E4" w:rsidR="00794D57" w:rsidRDefault="00794D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361653" w:history="1">
            <w:r w:rsidRPr="00602E33">
              <w:rPr>
                <w:rStyle w:val="Hiperveza"/>
                <w:noProof/>
              </w:rPr>
              <w:t>1.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602E33">
              <w:rPr>
                <w:rStyle w:val="Hiperveza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_Toc64361653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E15E1" w14:textId="3BF79137" w:rsidR="00794D57" w:rsidRDefault="00BE3D0B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64361654" w:history="1">
            <w:r w:rsidR="00794D57" w:rsidRPr="00602E33">
              <w:rPr>
                <w:rStyle w:val="Hiperveza"/>
                <w:noProof/>
              </w:rPr>
              <w:t>2.</w:t>
            </w:r>
            <w:r w:rsidR="00794D57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794D57" w:rsidRPr="00602E33">
              <w:rPr>
                <w:rStyle w:val="Hiperveza"/>
                <w:noProof/>
              </w:rPr>
              <w:t>Evidencije zajmova primljenih od međunarodnih financijskih institucija u sustavu državnog proračuna</w:t>
            </w:r>
            <w:r w:rsidR="00794D57">
              <w:rPr>
                <w:noProof/>
                <w:webHidden/>
              </w:rPr>
              <w:tab/>
            </w:r>
            <w:r w:rsidR="00794D57">
              <w:rPr>
                <w:noProof/>
                <w:webHidden/>
              </w:rPr>
              <w:fldChar w:fldCharType="begin"/>
            </w:r>
            <w:r w:rsidR="00794D57">
              <w:rPr>
                <w:noProof/>
                <w:webHidden/>
              </w:rPr>
              <w:instrText xml:space="preserve"> PAGEREF _Toc64361654 \h </w:instrText>
            </w:r>
            <w:r w:rsidR="00794D57">
              <w:rPr>
                <w:noProof/>
                <w:webHidden/>
              </w:rPr>
            </w:r>
            <w:r w:rsidR="00794D57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794D57">
              <w:rPr>
                <w:noProof/>
                <w:webHidden/>
              </w:rPr>
              <w:fldChar w:fldCharType="end"/>
            </w:r>
          </w:hyperlink>
        </w:p>
        <w:p w14:paraId="438A2889" w14:textId="1B299AEF" w:rsidR="00794D57" w:rsidRDefault="00BE3D0B">
          <w:pPr>
            <w:pStyle w:val="Sadraj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64361655" w:history="1">
            <w:r w:rsidR="00794D57" w:rsidRPr="00602E33">
              <w:rPr>
                <w:rStyle w:val="Hiperveza"/>
                <w:noProof/>
              </w:rPr>
              <w:t>2.1.</w:t>
            </w:r>
            <w:r w:rsidR="00794D57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hr-HR"/>
              </w:rPr>
              <w:tab/>
            </w:r>
            <w:r w:rsidR="00794D57" w:rsidRPr="00602E33">
              <w:rPr>
                <w:rStyle w:val="Hiperveza"/>
                <w:noProof/>
              </w:rPr>
              <w:t>Planiranje i izvršavanje zajmova i projekata financiranih iz zajmova primljenih od međunarodnih financijskih institucija</w:t>
            </w:r>
            <w:r w:rsidR="00794D57">
              <w:rPr>
                <w:noProof/>
                <w:webHidden/>
              </w:rPr>
              <w:tab/>
            </w:r>
            <w:r w:rsidR="00794D57">
              <w:rPr>
                <w:noProof/>
                <w:webHidden/>
              </w:rPr>
              <w:fldChar w:fldCharType="begin"/>
            </w:r>
            <w:r w:rsidR="00794D57">
              <w:rPr>
                <w:noProof/>
                <w:webHidden/>
              </w:rPr>
              <w:instrText xml:space="preserve"> PAGEREF _Toc64361655 \h </w:instrText>
            </w:r>
            <w:r w:rsidR="00794D57">
              <w:rPr>
                <w:noProof/>
                <w:webHidden/>
              </w:rPr>
            </w:r>
            <w:r w:rsidR="00794D57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794D57">
              <w:rPr>
                <w:noProof/>
                <w:webHidden/>
              </w:rPr>
              <w:fldChar w:fldCharType="end"/>
            </w:r>
          </w:hyperlink>
        </w:p>
        <w:p w14:paraId="2641FAC5" w14:textId="1A572498" w:rsidR="00794D57" w:rsidRDefault="00BE3D0B">
          <w:pPr>
            <w:pStyle w:val="Sadraj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64361656" w:history="1">
            <w:r w:rsidR="00794D57" w:rsidRPr="00602E33">
              <w:rPr>
                <w:rStyle w:val="Hiperveza"/>
                <w:noProof/>
              </w:rPr>
              <w:t>2.2.</w:t>
            </w:r>
            <w:r w:rsidR="00794D57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hr-HR"/>
              </w:rPr>
              <w:tab/>
            </w:r>
            <w:r w:rsidR="00794D57" w:rsidRPr="00602E33">
              <w:rPr>
                <w:rStyle w:val="Hiperveza"/>
                <w:noProof/>
              </w:rPr>
              <w:t>Knjigovodstveno evidentiranje i financijski izvještaji</w:t>
            </w:r>
            <w:r w:rsidR="00794D57">
              <w:rPr>
                <w:noProof/>
                <w:webHidden/>
              </w:rPr>
              <w:tab/>
            </w:r>
            <w:r w:rsidR="00794D57">
              <w:rPr>
                <w:noProof/>
                <w:webHidden/>
              </w:rPr>
              <w:fldChar w:fldCharType="begin"/>
            </w:r>
            <w:r w:rsidR="00794D57">
              <w:rPr>
                <w:noProof/>
                <w:webHidden/>
              </w:rPr>
              <w:instrText xml:space="preserve"> PAGEREF _Toc64361656 \h </w:instrText>
            </w:r>
            <w:r w:rsidR="00794D57">
              <w:rPr>
                <w:noProof/>
                <w:webHidden/>
              </w:rPr>
            </w:r>
            <w:r w:rsidR="00794D57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794D57">
              <w:rPr>
                <w:noProof/>
                <w:webHidden/>
              </w:rPr>
              <w:fldChar w:fldCharType="end"/>
            </w:r>
          </w:hyperlink>
        </w:p>
        <w:p w14:paraId="4C3E19BA" w14:textId="1C2389C0" w:rsidR="00794D57" w:rsidRDefault="00BE3D0B">
          <w:pPr>
            <w:pStyle w:val="Sadra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hr-HR"/>
            </w:rPr>
          </w:pPr>
          <w:hyperlink w:anchor="_Toc64361657" w:history="1">
            <w:r w:rsidR="00794D57" w:rsidRPr="00602E33">
              <w:rPr>
                <w:rStyle w:val="Hiperveza"/>
                <w:b/>
                <w:noProof/>
              </w:rPr>
              <w:t>2.2.1.</w:t>
            </w:r>
            <w:r w:rsidR="00794D57">
              <w:rPr>
                <w:rFonts w:eastAsiaTheme="minorEastAsia"/>
                <w:noProof/>
                <w:sz w:val="22"/>
                <w:szCs w:val="22"/>
                <w:lang w:eastAsia="hr-HR"/>
              </w:rPr>
              <w:tab/>
            </w:r>
            <w:r w:rsidR="00794D57" w:rsidRPr="00602E33">
              <w:rPr>
                <w:rStyle w:val="Hiperveza"/>
                <w:b/>
                <w:noProof/>
              </w:rPr>
              <w:t xml:space="preserve">Podizvori financiranja </w:t>
            </w:r>
            <w:r w:rsidR="00794D57" w:rsidRPr="00602E33">
              <w:rPr>
                <w:rStyle w:val="Hiperveza"/>
                <w:b/>
                <w:i/>
                <w:noProof/>
              </w:rPr>
              <w:t>81 Namjenski primici od zaduživanja</w:t>
            </w:r>
            <w:r w:rsidR="00794D57" w:rsidRPr="00602E33">
              <w:rPr>
                <w:rStyle w:val="Hiperveza"/>
                <w:b/>
                <w:noProof/>
              </w:rPr>
              <w:t xml:space="preserve"> i </w:t>
            </w:r>
            <w:r w:rsidR="00794D57" w:rsidRPr="00602E33">
              <w:rPr>
                <w:rStyle w:val="Hiperveza"/>
                <w:b/>
                <w:i/>
                <w:noProof/>
              </w:rPr>
              <w:t>83 Namjenski primici od inozemnog zaduživanja</w:t>
            </w:r>
            <w:r w:rsidR="00794D57">
              <w:rPr>
                <w:noProof/>
                <w:webHidden/>
              </w:rPr>
              <w:tab/>
            </w:r>
            <w:r w:rsidR="00794D57">
              <w:rPr>
                <w:noProof/>
                <w:webHidden/>
              </w:rPr>
              <w:fldChar w:fldCharType="begin"/>
            </w:r>
            <w:r w:rsidR="00794D57">
              <w:rPr>
                <w:noProof/>
                <w:webHidden/>
              </w:rPr>
              <w:instrText xml:space="preserve"> PAGEREF _Toc64361657 \h </w:instrText>
            </w:r>
            <w:r w:rsidR="00794D57">
              <w:rPr>
                <w:noProof/>
                <w:webHidden/>
              </w:rPr>
            </w:r>
            <w:r w:rsidR="00794D57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794D57">
              <w:rPr>
                <w:noProof/>
                <w:webHidden/>
              </w:rPr>
              <w:fldChar w:fldCharType="end"/>
            </w:r>
          </w:hyperlink>
        </w:p>
        <w:p w14:paraId="056DDD53" w14:textId="1A685CE0" w:rsidR="00794D57" w:rsidRDefault="00BE3D0B">
          <w:pPr>
            <w:pStyle w:val="Sadra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hr-HR"/>
            </w:rPr>
          </w:pPr>
          <w:hyperlink w:anchor="_Toc64361658" w:history="1">
            <w:r w:rsidR="00794D57" w:rsidRPr="00602E33">
              <w:rPr>
                <w:rStyle w:val="Hiperveza"/>
                <w:b/>
                <w:noProof/>
              </w:rPr>
              <w:t>2.2.2.</w:t>
            </w:r>
            <w:r w:rsidR="00794D57">
              <w:rPr>
                <w:rFonts w:eastAsiaTheme="minorEastAsia"/>
                <w:noProof/>
                <w:sz w:val="22"/>
                <w:szCs w:val="22"/>
                <w:lang w:eastAsia="hr-HR"/>
              </w:rPr>
              <w:tab/>
            </w:r>
            <w:r w:rsidR="00794D57" w:rsidRPr="00602E33">
              <w:rPr>
                <w:rStyle w:val="Hiperveza"/>
                <w:b/>
                <w:noProof/>
              </w:rPr>
              <w:t xml:space="preserve">Podizvor financiranja </w:t>
            </w:r>
            <w:r w:rsidR="00794D57" w:rsidRPr="00602E33">
              <w:rPr>
                <w:rStyle w:val="Hiperveza"/>
                <w:b/>
                <w:i/>
                <w:noProof/>
              </w:rPr>
              <w:t>82 Namjenski primici od zaduživanja kroz refundacije</w:t>
            </w:r>
            <w:r w:rsidR="00794D57">
              <w:rPr>
                <w:noProof/>
                <w:webHidden/>
              </w:rPr>
              <w:tab/>
            </w:r>
            <w:r w:rsidR="00794D57">
              <w:rPr>
                <w:noProof/>
                <w:webHidden/>
              </w:rPr>
              <w:fldChar w:fldCharType="begin"/>
            </w:r>
            <w:r w:rsidR="00794D57">
              <w:rPr>
                <w:noProof/>
                <w:webHidden/>
              </w:rPr>
              <w:instrText xml:space="preserve"> PAGEREF _Toc64361658 \h </w:instrText>
            </w:r>
            <w:r w:rsidR="00794D57">
              <w:rPr>
                <w:noProof/>
                <w:webHidden/>
              </w:rPr>
            </w:r>
            <w:r w:rsidR="00794D57">
              <w:rPr>
                <w:noProof/>
                <w:webHidden/>
              </w:rPr>
              <w:fldChar w:fldCharType="separate"/>
            </w:r>
            <w:r w:rsidR="009F459E">
              <w:rPr>
                <w:noProof/>
                <w:webHidden/>
              </w:rPr>
              <w:t>2</w:t>
            </w:r>
            <w:r w:rsidR="00794D57">
              <w:rPr>
                <w:noProof/>
                <w:webHidden/>
              </w:rPr>
              <w:fldChar w:fldCharType="end"/>
            </w:r>
          </w:hyperlink>
        </w:p>
        <w:p w14:paraId="75B48AE1" w14:textId="6AB39DDA" w:rsidR="00794D57" w:rsidRDefault="00794D57">
          <w:r>
            <w:rPr>
              <w:b/>
              <w:bCs/>
            </w:rPr>
            <w:fldChar w:fldCharType="end"/>
          </w:r>
        </w:p>
      </w:sdtContent>
    </w:sdt>
    <w:p w14:paraId="5EDC5ECA" w14:textId="038687DE" w:rsidR="005B7506" w:rsidRDefault="005B7506" w:rsidP="005B7506">
      <w:pPr>
        <w:pStyle w:val="zadopise"/>
      </w:pPr>
    </w:p>
    <w:p w14:paraId="5B1707D8" w14:textId="67D10E3E" w:rsidR="00794D57" w:rsidRDefault="00794D57" w:rsidP="005B7506">
      <w:pPr>
        <w:pStyle w:val="zadopise"/>
      </w:pPr>
    </w:p>
    <w:p w14:paraId="5A1C5842" w14:textId="23F290C6" w:rsidR="00794D57" w:rsidRDefault="00794D57" w:rsidP="005B7506">
      <w:pPr>
        <w:pStyle w:val="zadopise"/>
      </w:pPr>
    </w:p>
    <w:p w14:paraId="2BA8C8F5" w14:textId="50E0BDC6" w:rsidR="00794D57" w:rsidRDefault="00794D57" w:rsidP="005B7506">
      <w:pPr>
        <w:pStyle w:val="zadopise"/>
      </w:pPr>
    </w:p>
    <w:p w14:paraId="58DD3B81" w14:textId="58154FEB" w:rsidR="00794D57" w:rsidRDefault="00794D57" w:rsidP="005B7506">
      <w:pPr>
        <w:pStyle w:val="zadopise"/>
      </w:pPr>
    </w:p>
    <w:p w14:paraId="44A7C542" w14:textId="2D6CA392" w:rsidR="00794D57" w:rsidRDefault="00794D57" w:rsidP="005B7506">
      <w:pPr>
        <w:pStyle w:val="zadopise"/>
      </w:pPr>
    </w:p>
    <w:p w14:paraId="3BCBDFD2" w14:textId="57C83A17" w:rsidR="00794D57" w:rsidRDefault="00794D57" w:rsidP="005B7506">
      <w:pPr>
        <w:pStyle w:val="zadopise"/>
      </w:pPr>
    </w:p>
    <w:p w14:paraId="37696DC8" w14:textId="76707635" w:rsidR="00794D57" w:rsidRDefault="00794D57" w:rsidP="005B7506">
      <w:pPr>
        <w:pStyle w:val="zadopise"/>
      </w:pPr>
    </w:p>
    <w:p w14:paraId="57A023B8" w14:textId="072B340C" w:rsidR="00794D57" w:rsidRDefault="00794D57" w:rsidP="005B7506">
      <w:pPr>
        <w:pStyle w:val="zadopise"/>
      </w:pPr>
    </w:p>
    <w:p w14:paraId="1F78614A" w14:textId="7D06670A" w:rsidR="00794D57" w:rsidRDefault="00794D57" w:rsidP="005B7506">
      <w:pPr>
        <w:pStyle w:val="zadopise"/>
      </w:pPr>
    </w:p>
    <w:p w14:paraId="79ABF6AC" w14:textId="6E77F7E9" w:rsidR="00794D57" w:rsidRDefault="00794D57" w:rsidP="005B7506">
      <w:pPr>
        <w:pStyle w:val="zadopise"/>
      </w:pPr>
    </w:p>
    <w:p w14:paraId="0B6E89FA" w14:textId="591C7913" w:rsidR="00794D57" w:rsidRDefault="00794D57" w:rsidP="005B7506">
      <w:pPr>
        <w:pStyle w:val="zadopise"/>
      </w:pPr>
    </w:p>
    <w:p w14:paraId="345DAAE4" w14:textId="412AC1F9" w:rsidR="00794D57" w:rsidRDefault="00794D57" w:rsidP="005B7506">
      <w:pPr>
        <w:pStyle w:val="zadopise"/>
      </w:pPr>
    </w:p>
    <w:p w14:paraId="2060504A" w14:textId="3C712323" w:rsidR="00794D57" w:rsidRDefault="00794D57" w:rsidP="005B7506">
      <w:pPr>
        <w:pStyle w:val="zadopise"/>
      </w:pPr>
    </w:p>
    <w:p w14:paraId="5B5DD133" w14:textId="30F4E33A" w:rsidR="00794D57" w:rsidRDefault="00794D57" w:rsidP="005B7506">
      <w:pPr>
        <w:pStyle w:val="zadopise"/>
      </w:pPr>
    </w:p>
    <w:p w14:paraId="7CC088ED" w14:textId="510D7131" w:rsidR="00794D57" w:rsidRDefault="00794D57" w:rsidP="005B7506">
      <w:pPr>
        <w:pStyle w:val="zadopise"/>
      </w:pPr>
    </w:p>
    <w:p w14:paraId="21993A11" w14:textId="77777777" w:rsidR="00794D57" w:rsidRDefault="00794D57" w:rsidP="00794D57">
      <w:pPr>
        <w:pStyle w:val="zadopi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BC3594" w14:textId="4B0A22CB" w:rsidR="00794D57" w:rsidRDefault="00794D57" w:rsidP="00794D57">
      <w:pPr>
        <w:pStyle w:val="zadopi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4D57">
        <w:t>Obveznici primjene Upute su svi proračunski korisnici državnog proračuna</w:t>
      </w:r>
      <w:r w:rsidR="00925934">
        <w:t xml:space="preserve"> koji provode projekt/e financiran/e iz </w:t>
      </w:r>
      <w:r w:rsidRPr="00794D57">
        <w:t xml:space="preserve"> zajm</w:t>
      </w:r>
      <w:r w:rsidR="00925934">
        <w:t>a primljenog od</w:t>
      </w:r>
      <w:r w:rsidRPr="00794D57">
        <w:t xml:space="preserve"> međunarodn</w:t>
      </w:r>
      <w:r w:rsidR="00925934">
        <w:t>e</w:t>
      </w:r>
      <w:r w:rsidRPr="00794D57">
        <w:t xml:space="preserve"> financijsk</w:t>
      </w:r>
      <w:r w:rsidR="00925934">
        <w:t>e</w:t>
      </w:r>
      <w:r w:rsidRPr="00794D57">
        <w:t xml:space="preserve"> institucij</w:t>
      </w:r>
      <w:r w:rsidR="00925934">
        <w:t>e</w:t>
      </w:r>
      <w:r w:rsidRPr="00794D57">
        <w:t>.</w:t>
      </w:r>
    </w:p>
    <w:p w14:paraId="587D23DC" w14:textId="77777777" w:rsidR="00794D57" w:rsidRPr="005B7506" w:rsidRDefault="00794D57" w:rsidP="00794D57">
      <w:pPr>
        <w:pStyle w:val="zadopi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1A8AA9" w14:textId="77777777" w:rsidR="005B7506" w:rsidRPr="005B7506" w:rsidRDefault="005B7506" w:rsidP="005B7506">
      <w:pPr>
        <w:pStyle w:val="zadopise"/>
      </w:pPr>
    </w:p>
    <w:p w14:paraId="2BD59D02" w14:textId="77777777" w:rsidR="005B7506" w:rsidRPr="005B7506" w:rsidRDefault="005B7506" w:rsidP="005B7506">
      <w:pPr>
        <w:pStyle w:val="zadopise"/>
        <w:sectPr w:rsidR="005B7506" w:rsidRPr="005B7506" w:rsidSect="00C06900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A6CEFF9" w14:textId="7ECC4814" w:rsidR="00D50688" w:rsidRPr="00A05689" w:rsidRDefault="00D50688" w:rsidP="005B7506">
      <w:pPr>
        <w:pStyle w:val="zadopise"/>
        <w:keepNext/>
        <w:numPr>
          <w:ilvl w:val="0"/>
          <w:numId w:val="11"/>
        </w:numPr>
        <w:outlineLvl w:val="0"/>
        <w:rPr>
          <w:b/>
        </w:rPr>
      </w:pPr>
      <w:bookmarkStart w:id="1" w:name="_Toc40882801"/>
      <w:bookmarkStart w:id="2" w:name="_Toc64361653"/>
      <w:r w:rsidRPr="00A05689">
        <w:rPr>
          <w:b/>
        </w:rPr>
        <w:lastRenderedPageBreak/>
        <w:t>Uvod</w:t>
      </w:r>
      <w:bookmarkEnd w:id="1"/>
      <w:bookmarkEnd w:id="2"/>
    </w:p>
    <w:p w14:paraId="103EC7F3" w14:textId="77777777" w:rsidR="00A05689" w:rsidRDefault="00A05689" w:rsidP="00A05689">
      <w:pPr>
        <w:pStyle w:val="zadopise"/>
        <w:keepNext/>
      </w:pPr>
    </w:p>
    <w:p w14:paraId="53897A5C" w14:textId="2C650322" w:rsidR="00D50688" w:rsidRDefault="00D50688" w:rsidP="00A05689">
      <w:pPr>
        <w:pStyle w:val="zadopise"/>
      </w:pPr>
      <w:r w:rsidRPr="008F6C44">
        <w:t xml:space="preserve">Republika Hrvatska punopravna je članica grupe Svjetske banke, Europske banke za obnovu i razvoj, Razvojne banke Vijeća Europe i Inter-američke razvojne banke. </w:t>
      </w:r>
      <w:r w:rsidR="0034209E">
        <w:t xml:space="preserve">Također, potpisnica je Okvirnog </w:t>
      </w:r>
      <w:r w:rsidRPr="008F6C44">
        <w:t>sporazum</w:t>
      </w:r>
      <w:r w:rsidR="0034209E">
        <w:t>a</w:t>
      </w:r>
      <w:r w:rsidRPr="008F6C44">
        <w:t xml:space="preserve"> o suradnji s Europskom investicijskom bankom. Na temelju potpisanih i objavljenih različitih međunarodnih ugovora i zakona o prihvaćanju članstva Republike Hrvatske u navedenim međunarodnim financijskim institucijama Ministarstvo</w:t>
      </w:r>
      <w:r w:rsidR="00092A57">
        <w:t xml:space="preserve"> financija</w:t>
      </w:r>
      <w:r w:rsidR="00092A57">
        <w:rPr>
          <w:rStyle w:val="Referencafusnote"/>
        </w:rPr>
        <w:footnoteReference w:id="1"/>
      </w:r>
      <w:r w:rsidRPr="008F6C44">
        <w:t xml:space="preserve"> nadležno je tijelo za odnose s međunarodnim financijskim institucijama. </w:t>
      </w:r>
      <w:r w:rsidRPr="00A857C4">
        <w:t>Pregled cjelokupne zakonodavne osnove kao i svi potpisani te zakonom potvrđeni ugovori s međunarodnim financijskim institucijama nalaze se u Zbirci međunarodnih financijskih ugovora.</w:t>
      </w:r>
    </w:p>
    <w:p w14:paraId="5C280764" w14:textId="77777777" w:rsidR="00A05689" w:rsidRPr="008F6C44" w:rsidRDefault="00A05689" w:rsidP="00A05689">
      <w:pPr>
        <w:pStyle w:val="zadopise"/>
      </w:pPr>
    </w:p>
    <w:p w14:paraId="06B07DB8" w14:textId="7D1CBEAB" w:rsidR="00D50688" w:rsidRDefault="00D50688" w:rsidP="00A05689">
      <w:pPr>
        <w:pStyle w:val="zadopise"/>
      </w:pPr>
      <w:r w:rsidRPr="008F6C44">
        <w:t>Na temelju gore navedene zakonodavne osnove te na temelju Zakona o sustavu provedbe programa Europske unije i sustavu provedbe projekata financiranih iz sredstava zajmova i darovnica iz ostalih inozemnih izvora (Narodne novine br. 58/06) i na temelju Uredbe o poslovima upravljanja sustavom i nadzoru provedbe projekata financiranih iz sredstava zajmova i darovnica Republici Hrvatskoj iz ostalih inozemnih izvora (Narodne novine br. 33/07)</w:t>
      </w:r>
      <w:r w:rsidR="00F271FE">
        <w:t>,</w:t>
      </w:r>
      <w:r w:rsidRPr="008F6C44">
        <w:t xml:space="preserve"> odgovornost za sveukupnu suradnju s međunarodnim financijskim institucijama ima nacionalni koordinator koji je po funkciji ministar financija te je nadležan za koordiniranje i nadzor provedbe poslova upravljanja sustavom i nadzora provedbe projekata.</w:t>
      </w:r>
    </w:p>
    <w:p w14:paraId="3BD3AF05" w14:textId="77777777" w:rsidR="00A05689" w:rsidRPr="008F6C44" w:rsidRDefault="00A05689" w:rsidP="00A05689">
      <w:pPr>
        <w:pStyle w:val="zadopise"/>
      </w:pPr>
    </w:p>
    <w:p w14:paraId="42EE2EFA" w14:textId="43C31201" w:rsidR="00461059" w:rsidRDefault="00D50688" w:rsidP="00A05689">
      <w:pPr>
        <w:pStyle w:val="zadopise"/>
      </w:pPr>
      <w:r w:rsidRPr="008F6C44">
        <w:t xml:space="preserve">Zakon o sklapanju i izvršavanju međunarodnih ugovora (Narodne novine br. 28/96) propisuje postupak sklapanja i izvršavanja </w:t>
      </w:r>
      <w:r w:rsidR="00461C96">
        <w:t>svakog</w:t>
      </w:r>
      <w:r w:rsidRPr="008F6C44">
        <w:t xml:space="preserve"> međunarodn</w:t>
      </w:r>
      <w:r w:rsidR="00461C96">
        <w:t>og</w:t>
      </w:r>
      <w:r w:rsidRPr="008F6C44">
        <w:t xml:space="preserve"> ugovor</w:t>
      </w:r>
      <w:r w:rsidR="00461C96">
        <w:t>a</w:t>
      </w:r>
      <w:r w:rsidR="00092A57">
        <w:t>,</w:t>
      </w:r>
      <w:r w:rsidRPr="008F6C44">
        <w:t xml:space="preserve"> uključujući i ugovore o zajmovima i ugovore o jamstvima između Republike Hrvatske i međunarodnih financijskih institucija kojima se financiraju pojedinačni projekti.</w:t>
      </w:r>
    </w:p>
    <w:p w14:paraId="468D16B2" w14:textId="77777777" w:rsidR="00A05689" w:rsidRPr="008F6C44" w:rsidRDefault="00A05689" w:rsidP="00A05689">
      <w:pPr>
        <w:pStyle w:val="zadopise"/>
      </w:pPr>
    </w:p>
    <w:p w14:paraId="2DAC7764" w14:textId="2D967D04" w:rsidR="0096624E" w:rsidRDefault="0096624E" w:rsidP="00A05689">
      <w:pPr>
        <w:pStyle w:val="zadopise"/>
      </w:pPr>
      <w:r w:rsidRPr="008F6C44">
        <w:t>Vlada Republike Hrvatske u suradnji s međunarodnom financijskom institucijom ili organizacijom pokreće projekt. Ugovor o zajmu s međunarodnom financijskom institucijom međunarodni je ugovor, koj</w:t>
      </w:r>
      <w:r w:rsidR="00461C96">
        <w:t>eg</w:t>
      </w:r>
      <w:r w:rsidRPr="008F6C44">
        <w:t xml:space="preserve"> stoga</w:t>
      </w:r>
      <w:r w:rsidR="00092A57">
        <w:t xml:space="preserve"> mora ratificirati Hrvatski s</w:t>
      </w:r>
      <w:r w:rsidRPr="008F6C44">
        <w:t xml:space="preserve">abor i objaviti u Narodnim novinama. Zakonom o potvrđivanju </w:t>
      </w:r>
      <w:r w:rsidR="00A857C4">
        <w:t>u</w:t>
      </w:r>
      <w:r w:rsidRPr="008F6C44">
        <w:t xml:space="preserve">govora </w:t>
      </w:r>
      <w:r w:rsidR="00092A57">
        <w:t xml:space="preserve">se, </w:t>
      </w:r>
      <w:r w:rsidRPr="008F6C44">
        <w:t>između ostalog</w:t>
      </w:r>
      <w:r w:rsidR="00092A57">
        <w:t>,</w:t>
      </w:r>
      <w:r w:rsidRPr="008F6C44">
        <w:t xml:space="preserve"> imenuje tijelo koje je odgovorno za nadzor i</w:t>
      </w:r>
      <w:r w:rsidR="00092A57">
        <w:t xml:space="preserve"> ocjenjivanje provedbe projekta te se </w:t>
      </w:r>
      <w:r w:rsidRPr="008F6C44">
        <w:t xml:space="preserve">osniva </w:t>
      </w:r>
      <w:r w:rsidR="00A857C4">
        <w:t>j</w:t>
      </w:r>
      <w:r w:rsidRPr="008F6C44">
        <w:t xml:space="preserve">edinica za provedbu projekta kao tijelo koje je odgovorno za sveukupnu provedbu projekta. </w:t>
      </w:r>
    </w:p>
    <w:p w14:paraId="4C6D112B" w14:textId="77777777" w:rsidR="00A05689" w:rsidRPr="008F6C44" w:rsidRDefault="00A05689" w:rsidP="00A05689">
      <w:pPr>
        <w:pStyle w:val="zadopise"/>
      </w:pPr>
    </w:p>
    <w:p w14:paraId="0F38704C" w14:textId="77777777" w:rsidR="008D07F6" w:rsidRPr="00A05689" w:rsidRDefault="008D07F6" w:rsidP="008D07F6">
      <w:pPr>
        <w:pStyle w:val="zadopise"/>
      </w:pPr>
      <w:r w:rsidRPr="00A05689">
        <w:t xml:space="preserve">Svaki zajam ima svoju </w:t>
      </w:r>
      <w:r>
        <w:t xml:space="preserve">brojčanu </w:t>
      </w:r>
      <w:r w:rsidRPr="00A05689">
        <w:t xml:space="preserve">oznaku </w:t>
      </w:r>
      <w:r>
        <w:t xml:space="preserve">i naziv </w:t>
      </w:r>
      <w:r w:rsidRPr="00A05689">
        <w:t xml:space="preserve">zajma </w:t>
      </w:r>
      <w:r>
        <w:t>te</w:t>
      </w:r>
      <w:r w:rsidRPr="00A05689">
        <w:t xml:space="preserve"> kraticu naziva financijske institucije kod koje je zajam ugovoren.</w:t>
      </w:r>
    </w:p>
    <w:p w14:paraId="0338C6A4" w14:textId="77777777" w:rsidR="008D07F6" w:rsidRDefault="008D07F6" w:rsidP="008D07F6">
      <w:pPr>
        <w:pStyle w:val="zadopise"/>
      </w:pPr>
    </w:p>
    <w:p w14:paraId="34292971" w14:textId="77777777" w:rsidR="008D07F6" w:rsidRPr="00A05689" w:rsidRDefault="008D07F6" w:rsidP="008D07F6">
      <w:pPr>
        <w:pStyle w:val="zadopise"/>
        <w:tabs>
          <w:tab w:val="left" w:pos="1134"/>
        </w:tabs>
      </w:pPr>
      <w:r w:rsidRPr="00A05689">
        <w:t>Primjer</w:t>
      </w:r>
      <w:r>
        <w:t>i</w:t>
      </w:r>
      <w:r w:rsidRPr="00A05689">
        <w:t xml:space="preserve">: </w:t>
      </w:r>
      <w:r>
        <w:tab/>
      </w:r>
      <w:r w:rsidRPr="00A05689">
        <w:t xml:space="preserve">IBRD </w:t>
      </w:r>
      <w:r>
        <w:t xml:space="preserve">80860 </w:t>
      </w:r>
      <w:r w:rsidRPr="00A05689">
        <w:t>Projekt implementacije integriranog sustava zemljišne administracije</w:t>
      </w:r>
    </w:p>
    <w:p w14:paraId="2A279FCF" w14:textId="77777777" w:rsidR="008D07F6" w:rsidRDefault="008D07F6" w:rsidP="008D07F6">
      <w:pPr>
        <w:pStyle w:val="zadopise"/>
        <w:ind w:left="708" w:firstLine="426"/>
      </w:pPr>
      <w:r>
        <w:t>CEB</w:t>
      </w:r>
      <w:r w:rsidRPr="00A05689">
        <w:t xml:space="preserve"> </w:t>
      </w:r>
      <w:r>
        <w:t>1845</w:t>
      </w:r>
      <w:r w:rsidRPr="00A05689">
        <w:t xml:space="preserve"> </w:t>
      </w:r>
      <w:r>
        <w:t>Projekt zaštite od poplava</w:t>
      </w:r>
    </w:p>
    <w:p w14:paraId="4D2A84D1" w14:textId="77777777" w:rsidR="008D07F6" w:rsidRDefault="008D07F6" w:rsidP="008D07F6">
      <w:pPr>
        <w:pStyle w:val="zadopise"/>
        <w:ind w:left="708" w:firstLine="426"/>
      </w:pPr>
      <w:r>
        <w:t xml:space="preserve">EIB 31146 </w:t>
      </w:r>
      <w:r w:rsidRPr="00157E87">
        <w:t>Projekt razvoja infrastrukture na otocima i u priobalju</w:t>
      </w:r>
    </w:p>
    <w:p w14:paraId="73361DBD" w14:textId="77777777" w:rsidR="008D07F6" w:rsidRDefault="008D07F6" w:rsidP="008D07F6">
      <w:pPr>
        <w:pStyle w:val="zadopise"/>
        <w:ind w:left="708" w:firstLine="426"/>
      </w:pPr>
    </w:p>
    <w:p w14:paraId="7E1FD75D" w14:textId="246E33DE" w:rsidR="0096624E" w:rsidRDefault="00BF1CF6" w:rsidP="00A05689">
      <w:pPr>
        <w:pStyle w:val="zadopise"/>
      </w:pPr>
      <w:r w:rsidRPr="008F6C44">
        <w:t xml:space="preserve">Način financiranja projekta dogovara se </w:t>
      </w:r>
      <w:r w:rsidR="00461C96">
        <w:t xml:space="preserve">individualno </w:t>
      </w:r>
      <w:r w:rsidRPr="008F6C44">
        <w:t xml:space="preserve">za svaki projekt i on je također sastavni dio </w:t>
      </w:r>
      <w:r w:rsidR="00A857C4">
        <w:t>u</w:t>
      </w:r>
      <w:r w:rsidRPr="008F6C44">
        <w:t>govora. Najčešći model koji se javlja kao način financiranja projekata je da, uz sredstva zajma kao inozemnu komponentu koju daje međunarodna financijska institucija ili organizacija, zemlja korisnik projekta osigura dio sredst</w:t>
      </w:r>
      <w:r w:rsidR="00092A57">
        <w:t>a</w:t>
      </w:r>
      <w:r w:rsidRPr="008F6C44">
        <w:t xml:space="preserve">va iz proračuna (učešće u zajmu) za njegovu provedbu. Međunarodna organizacija odobrava određeni iznos na ime zajma. Taj iznos ne predstavlja ukupnu obvezu za povrat </w:t>
      </w:r>
      <w:r w:rsidR="00461C96">
        <w:t xml:space="preserve">već samo </w:t>
      </w:r>
      <w:r w:rsidRPr="008F6C44">
        <w:t xml:space="preserve">iznos koji se daje na raspolaganje Republici Hrvatskoj za određeni projekt. Ovaj iznos </w:t>
      </w:r>
      <w:r w:rsidR="00157AF1">
        <w:t xml:space="preserve">predstavlja </w:t>
      </w:r>
      <w:r w:rsidRPr="008F6C44">
        <w:t xml:space="preserve">odobreni zajam. Ugovorom su predviđene tzv. „tranše“ ili </w:t>
      </w:r>
      <w:r w:rsidR="00461C96">
        <w:t xml:space="preserve">obroci </w:t>
      </w:r>
      <w:r w:rsidRPr="008F6C44">
        <w:t xml:space="preserve">povlačenja zajma tj. iznosi od ukupnog zajma koji se povlače u </w:t>
      </w:r>
      <w:r w:rsidRPr="008F6C44">
        <w:lastRenderedPageBreak/>
        <w:t xml:space="preserve">razdobljima predviđenim </w:t>
      </w:r>
      <w:r w:rsidR="00A857C4">
        <w:t>u</w:t>
      </w:r>
      <w:r w:rsidRPr="008F6C44">
        <w:t xml:space="preserve">govorom i </w:t>
      </w:r>
      <w:r w:rsidR="00461C96">
        <w:t xml:space="preserve">koji </w:t>
      </w:r>
      <w:r w:rsidRPr="008F6C44">
        <w:t xml:space="preserve">predstavljaju iznos za evidentiranje nastale obveze za povrat zajma </w:t>
      </w:r>
      <w:r w:rsidR="00EF42CC">
        <w:t>(povučeni zajam)</w:t>
      </w:r>
      <w:r w:rsidRPr="008F6C44">
        <w:t xml:space="preserve">. </w:t>
      </w:r>
    </w:p>
    <w:p w14:paraId="269606CB" w14:textId="77777777" w:rsidR="00A05689" w:rsidRDefault="00A05689" w:rsidP="00A05689">
      <w:pPr>
        <w:pStyle w:val="zadopise"/>
      </w:pPr>
    </w:p>
    <w:p w14:paraId="648F64E6" w14:textId="77777777" w:rsidR="00C82D32" w:rsidRDefault="00C82D32" w:rsidP="00A05689">
      <w:pPr>
        <w:pStyle w:val="zadopise"/>
      </w:pPr>
      <w:r w:rsidRPr="008F6C44">
        <w:t>Učešće Republike Hrvatske obično predstavlja određeni postotak od sredstava zajma i zajedno s</w:t>
      </w:r>
      <w:r w:rsidR="00092A57">
        <w:t>a</w:t>
      </w:r>
      <w:r w:rsidRPr="008F6C44">
        <w:t xml:space="preserve"> zajmom čini ukupno raspoloživa sredstava za pojedini projekt. Ugovorom ili drugim posebnim propisima kojima se uređuje način korištenja zajma određuje se namjena u koju će biti utrošena sredstva učešća, kao i </w:t>
      </w:r>
      <w:r w:rsidR="00991D0C" w:rsidRPr="008F6C44">
        <w:t xml:space="preserve">način </w:t>
      </w:r>
      <w:r w:rsidRPr="008F6C44">
        <w:t>na koji će se utrošiti sredstva zajma.</w:t>
      </w:r>
    </w:p>
    <w:p w14:paraId="6FCCF913" w14:textId="77777777" w:rsidR="008D07F6" w:rsidRDefault="008D07F6" w:rsidP="00A05689">
      <w:pPr>
        <w:pStyle w:val="zadopise"/>
      </w:pPr>
    </w:p>
    <w:p w14:paraId="257C45DD" w14:textId="77777777" w:rsidR="00BF1CF6" w:rsidRDefault="000A3E05" w:rsidP="005B7506">
      <w:pPr>
        <w:pStyle w:val="zadopise"/>
        <w:keepNext/>
        <w:numPr>
          <w:ilvl w:val="0"/>
          <w:numId w:val="11"/>
        </w:numPr>
        <w:outlineLvl w:val="0"/>
        <w:rPr>
          <w:b/>
        </w:rPr>
      </w:pPr>
      <w:bookmarkStart w:id="3" w:name="_Toc40882802"/>
      <w:bookmarkStart w:id="4" w:name="_Toc64361654"/>
      <w:r>
        <w:rPr>
          <w:b/>
        </w:rPr>
        <w:t>E</w:t>
      </w:r>
      <w:r w:rsidR="008F6C44" w:rsidRPr="00A05689">
        <w:rPr>
          <w:b/>
        </w:rPr>
        <w:t>videncije zajmova primljenih od međunarodnih financijskih institucija</w:t>
      </w:r>
      <w:r>
        <w:rPr>
          <w:b/>
        </w:rPr>
        <w:t xml:space="preserve"> u sustavu državnog proračuna</w:t>
      </w:r>
      <w:bookmarkEnd w:id="3"/>
      <w:bookmarkEnd w:id="4"/>
    </w:p>
    <w:p w14:paraId="2B9101C8" w14:textId="77777777" w:rsidR="00A05689" w:rsidRPr="00A05689" w:rsidRDefault="00A05689" w:rsidP="00A05689">
      <w:pPr>
        <w:pStyle w:val="zadopise"/>
        <w:keepNext/>
      </w:pPr>
    </w:p>
    <w:p w14:paraId="74FE2EF8" w14:textId="77777777" w:rsidR="006A66AC" w:rsidRDefault="0096624E" w:rsidP="00A05689">
      <w:pPr>
        <w:pStyle w:val="zadopise"/>
      </w:pPr>
      <w:r w:rsidRPr="008F6C44">
        <w:t xml:space="preserve">U odredbama svakog </w:t>
      </w:r>
      <w:r w:rsidR="000A3E05">
        <w:t>u</w:t>
      </w:r>
      <w:r w:rsidRPr="008F6C44">
        <w:t xml:space="preserve">govora sadržane su i odredbe o načinu provođenja projekta. </w:t>
      </w:r>
      <w:r w:rsidR="006A66AC">
        <w:t>B</w:t>
      </w:r>
      <w:r w:rsidRPr="008F6C44">
        <w:t xml:space="preserve">itna stavka svakog </w:t>
      </w:r>
      <w:r w:rsidR="000A3E05">
        <w:t>u</w:t>
      </w:r>
      <w:r w:rsidRPr="008F6C44">
        <w:t xml:space="preserve">govora je određivanje načina povlačenja, kao i načina plaćanja rashoda vezanih uz projekt. </w:t>
      </w:r>
    </w:p>
    <w:p w14:paraId="565CCDB6" w14:textId="77777777" w:rsidR="00A05689" w:rsidRDefault="00A05689" w:rsidP="00A05689">
      <w:pPr>
        <w:pStyle w:val="zadopise"/>
      </w:pPr>
    </w:p>
    <w:p w14:paraId="414CB56E" w14:textId="77777777" w:rsidR="006A66AC" w:rsidRDefault="006A66AC" w:rsidP="00A05689">
      <w:pPr>
        <w:pStyle w:val="zadopise"/>
      </w:pPr>
      <w:r>
        <w:t xml:space="preserve">Ugovori o zajmovima sklopljeni ranijih godina često su sadržavali odredbe o obveznom otvaranju posebnog računa u poslovnoj banci za </w:t>
      </w:r>
      <w:r w:rsidR="00356A82">
        <w:t xml:space="preserve">povlačenje i trošenje sredstava zajma, jer se pretpostavljalo da će na taj način biti lakše pratiti korištenje zajma i provoditi kontrole. Ugovori koji se sada sklapaju ne smiju sadržavati ovakve odredbe, budući da sustav državne riznice i proračunske klasifikacije omogućavaju točno, detaljno i pravovremeno praćenje </w:t>
      </w:r>
      <w:r w:rsidR="00157E87">
        <w:t xml:space="preserve">i izvršavanje </w:t>
      </w:r>
      <w:r w:rsidR="00A05689">
        <w:t xml:space="preserve">proračunskih </w:t>
      </w:r>
      <w:r w:rsidR="00356A82">
        <w:t xml:space="preserve">sredstava (zajmova, </w:t>
      </w:r>
      <w:r w:rsidR="00A05689">
        <w:t>kao</w:t>
      </w:r>
      <w:r w:rsidR="00356A82">
        <w:t xml:space="preserve"> i svih drugih izvora).</w:t>
      </w:r>
    </w:p>
    <w:p w14:paraId="36D90F88" w14:textId="77777777" w:rsidR="00A05689" w:rsidRDefault="00A05689" w:rsidP="00A05689">
      <w:pPr>
        <w:pStyle w:val="zadopise"/>
      </w:pPr>
    </w:p>
    <w:p w14:paraId="4035B4B0" w14:textId="77777777" w:rsidR="00356A82" w:rsidRDefault="00356A82" w:rsidP="00A05689">
      <w:pPr>
        <w:pStyle w:val="zadopise"/>
      </w:pPr>
      <w:r w:rsidRPr="005C3F7C">
        <w:t xml:space="preserve">Postojeći zajmovi koji se vode na posebnim računima u poslovnim bankama, za koje su ugovori sklopljeni ranijih godina, nastavljaju s </w:t>
      </w:r>
      <w:r w:rsidR="004B24EC" w:rsidRPr="005C3F7C">
        <w:t xml:space="preserve">postojećim načinom korištenja zajma i </w:t>
      </w:r>
      <w:r w:rsidR="00905FCE" w:rsidRPr="005C3F7C">
        <w:t>iz</w:t>
      </w:r>
      <w:r w:rsidR="004B24EC" w:rsidRPr="005C3F7C">
        <w:t>vještavanja Ministarstva financija o istome.</w:t>
      </w:r>
    </w:p>
    <w:p w14:paraId="6761AD6F" w14:textId="77777777" w:rsidR="005C6B3F" w:rsidRDefault="005C6B3F" w:rsidP="00A05689">
      <w:pPr>
        <w:pStyle w:val="zadopise"/>
      </w:pPr>
    </w:p>
    <w:p w14:paraId="294771F0" w14:textId="54814D1B" w:rsidR="005C6B3F" w:rsidRDefault="005C6B3F" w:rsidP="00A05689">
      <w:pPr>
        <w:pStyle w:val="zadopise"/>
      </w:pPr>
      <w:r w:rsidRPr="008F6C44">
        <w:t xml:space="preserve">Za sklopljene </w:t>
      </w:r>
      <w:r w:rsidR="000A3E05">
        <w:t>u</w:t>
      </w:r>
      <w:r w:rsidRPr="008F6C44">
        <w:t xml:space="preserve">govore obvezu otplate preuzima </w:t>
      </w:r>
      <w:r>
        <w:t>Republika Hrvatska putem Ministarstva</w:t>
      </w:r>
      <w:r w:rsidRPr="008F6C44">
        <w:t xml:space="preserve"> financija koje zajmove vraća iz sredstava </w:t>
      </w:r>
      <w:r w:rsidR="00B000C0">
        <w:t xml:space="preserve">državnog </w:t>
      </w:r>
      <w:r w:rsidRPr="008F6C44">
        <w:t xml:space="preserve">proračuna. </w:t>
      </w:r>
      <w:r w:rsidRPr="000A3E05">
        <w:t xml:space="preserve">Obvezu za povrat zajma evidentira državni proračun, odnosno glava 02506 Ministarstvo financija – ostali izdaci države. </w:t>
      </w:r>
      <w:r w:rsidRPr="008F6C44">
        <w:t>Otplate dospjelih zajmova također se planiraju kroz račun financiranja državnog proračuna kao izdaci za otplatu primljenih zajmova u razredu 5</w:t>
      </w:r>
      <w:r w:rsidR="00B000C0">
        <w:t xml:space="preserve"> Računskog plana</w:t>
      </w:r>
      <w:r>
        <w:t xml:space="preserve">, </w:t>
      </w:r>
      <w:r w:rsidRPr="000A3E05">
        <w:t>a u posebnom dijelu državnog proračuna planiraju se na pozicijama glave 02506 Ministarstvo financija – ostali izdaci države.</w:t>
      </w:r>
    </w:p>
    <w:p w14:paraId="34EACC45" w14:textId="77777777" w:rsidR="00A05689" w:rsidRDefault="00A05689" w:rsidP="00A05689">
      <w:pPr>
        <w:pStyle w:val="zadopise"/>
      </w:pPr>
    </w:p>
    <w:p w14:paraId="2EAB42DE" w14:textId="77777777" w:rsidR="000A3E05" w:rsidRDefault="000A3E05" w:rsidP="00A05689">
      <w:pPr>
        <w:pStyle w:val="zadopise"/>
      </w:pPr>
    </w:p>
    <w:p w14:paraId="7B310348" w14:textId="77777777" w:rsidR="00232174" w:rsidRPr="00D41AF0" w:rsidRDefault="00FB26FA" w:rsidP="005B7506">
      <w:pPr>
        <w:pStyle w:val="zadopise"/>
        <w:keepNext/>
        <w:numPr>
          <w:ilvl w:val="1"/>
          <w:numId w:val="11"/>
        </w:numPr>
        <w:outlineLvl w:val="1"/>
        <w:rPr>
          <w:b/>
        </w:rPr>
      </w:pPr>
      <w:bookmarkStart w:id="5" w:name="_Toc40882803"/>
      <w:bookmarkStart w:id="6" w:name="_Toc64361655"/>
      <w:r w:rsidRPr="00D41AF0">
        <w:rPr>
          <w:b/>
        </w:rPr>
        <w:t xml:space="preserve">Planiranje i izvršavanje </w:t>
      </w:r>
      <w:r w:rsidR="000A3E05">
        <w:rPr>
          <w:b/>
        </w:rPr>
        <w:t xml:space="preserve">zajmova i </w:t>
      </w:r>
      <w:r w:rsidR="00B54057" w:rsidRPr="00D41AF0">
        <w:rPr>
          <w:b/>
        </w:rPr>
        <w:t>projekata financiranih iz zajmova primljenih od međunarodnih financijskih institucija</w:t>
      </w:r>
      <w:bookmarkEnd w:id="5"/>
      <w:bookmarkEnd w:id="6"/>
      <w:r w:rsidR="00B54057" w:rsidRPr="00D41AF0">
        <w:rPr>
          <w:b/>
        </w:rPr>
        <w:t xml:space="preserve"> </w:t>
      </w:r>
    </w:p>
    <w:p w14:paraId="2257C9AF" w14:textId="77777777" w:rsidR="00FB26FA" w:rsidRDefault="00FB26FA" w:rsidP="00A05689">
      <w:pPr>
        <w:pStyle w:val="zadopise"/>
      </w:pPr>
    </w:p>
    <w:p w14:paraId="1CE1010A" w14:textId="77777777" w:rsidR="00232174" w:rsidRDefault="00B54057" w:rsidP="00A05689">
      <w:pPr>
        <w:pStyle w:val="zadopise"/>
      </w:pPr>
      <w:r>
        <w:t>Sredstva za provedbu projekta, koji se financira iz zajma primljenog od međunarodne financijske institucije, planiraju se u državnom proračunu za godinu/e u kojima se očekuje provedba projekta i to na pozicijama proračunskog kor</w:t>
      </w:r>
      <w:r w:rsidR="007B7785">
        <w:t xml:space="preserve">isnika koji provodi projekt. Preporuka je za potrebe provedbe projekta otvoriti posebni projekt programske klasifikacije (npr. K123456), u okviru kojega se planira izvor financiranja </w:t>
      </w:r>
      <w:r w:rsidR="007B7785" w:rsidRPr="000A3E05">
        <w:rPr>
          <w:i/>
        </w:rPr>
        <w:t>8 Namjenski primici</w:t>
      </w:r>
      <w:r w:rsidR="007B7785">
        <w:t xml:space="preserve">. </w:t>
      </w:r>
      <w:r w:rsidR="00F962B4">
        <w:t>Naime, u</w:t>
      </w:r>
      <w:r w:rsidR="00003B4F" w:rsidRPr="00003B4F">
        <w:t xml:space="preserve"> izvor financiranja </w:t>
      </w:r>
      <w:r w:rsidR="00003B4F" w:rsidRPr="000A3E05">
        <w:rPr>
          <w:i/>
        </w:rPr>
        <w:t>8 Namjenski primici</w:t>
      </w:r>
      <w:r w:rsidR="00003B4F" w:rsidRPr="00003B4F">
        <w:t xml:space="preserve"> uključuju se primici od financijske imovine i zaduživanja, čija je namjena utvrđena pos</w:t>
      </w:r>
      <w:r w:rsidR="00003B4F">
        <w:t>ebnim ugovorima i/ili propisima</w:t>
      </w:r>
      <w:r w:rsidR="00F962B4">
        <w:t>, pa je sredstva zajma potrebno planirati u okviru ovoga izvora kako bi ih proračunski korisnik mogao trošiti (izvršavati rashode planirane u okviru ovoga izvora)</w:t>
      </w:r>
      <w:r w:rsidR="00003B4F">
        <w:t xml:space="preserve">. Skupina izvora financiranja (tzv. </w:t>
      </w:r>
      <w:proofErr w:type="spellStart"/>
      <w:r w:rsidR="00003B4F">
        <w:t>podizvor</w:t>
      </w:r>
      <w:proofErr w:type="spellEnd"/>
      <w:r w:rsidR="00003B4F">
        <w:t>)</w:t>
      </w:r>
      <w:r w:rsidR="00232174">
        <w:t xml:space="preserve"> određuje se na temelju načina isplate sredstava zajma</w:t>
      </w:r>
      <w:r w:rsidR="005C6B3F">
        <w:t xml:space="preserve">, a obuhvaća sljedeće </w:t>
      </w:r>
      <w:proofErr w:type="spellStart"/>
      <w:r w:rsidR="005C6B3F">
        <w:t>podizvore</w:t>
      </w:r>
      <w:proofErr w:type="spellEnd"/>
      <w:r w:rsidR="00232174">
        <w:t>:</w:t>
      </w:r>
    </w:p>
    <w:p w14:paraId="7EF19487" w14:textId="77777777" w:rsidR="004340A9" w:rsidRPr="000815F2" w:rsidRDefault="004340A9" w:rsidP="00794D57">
      <w:pPr>
        <w:pStyle w:val="zadopise"/>
        <w:keepNext/>
        <w:numPr>
          <w:ilvl w:val="0"/>
          <w:numId w:val="17"/>
        </w:numPr>
        <w:spacing w:before="80"/>
        <w:ind w:left="714" w:hanging="357"/>
        <w:rPr>
          <w:i/>
          <w:u w:val="single"/>
        </w:rPr>
      </w:pPr>
      <w:r w:rsidRPr="000815F2">
        <w:rPr>
          <w:i/>
          <w:u w:val="single"/>
        </w:rPr>
        <w:lastRenderedPageBreak/>
        <w:t xml:space="preserve">81 Namjenski primici od zaduživanja </w:t>
      </w:r>
    </w:p>
    <w:p w14:paraId="14DBEC37" w14:textId="391D60BE" w:rsidR="004340A9" w:rsidRDefault="004340A9" w:rsidP="000815F2">
      <w:pPr>
        <w:pStyle w:val="zadopise"/>
        <w:ind w:left="708"/>
      </w:pPr>
      <w:r>
        <w:t xml:space="preserve">U okviru ovog </w:t>
      </w:r>
      <w:proofErr w:type="spellStart"/>
      <w:r w:rsidR="00426030">
        <w:t>pod</w:t>
      </w:r>
      <w:r>
        <w:t>izvora</w:t>
      </w:r>
      <w:proofErr w:type="spellEnd"/>
      <w:r>
        <w:t xml:space="preserve"> planiraju se projekti koji se financiraju iz zajmova od međunarodnih organizacija i institucija, a koji se izvršavaju preko jedinstvenog računa državnog proračuna. </w:t>
      </w:r>
    </w:p>
    <w:p w14:paraId="5401C67B" w14:textId="77777777" w:rsidR="004340A9" w:rsidRPr="000815F2" w:rsidRDefault="004340A9" w:rsidP="004340A9">
      <w:pPr>
        <w:pStyle w:val="zadopise"/>
        <w:numPr>
          <w:ilvl w:val="0"/>
          <w:numId w:val="17"/>
        </w:numPr>
        <w:spacing w:before="80"/>
        <w:ind w:left="714" w:hanging="357"/>
        <w:rPr>
          <w:i/>
          <w:u w:val="single"/>
        </w:rPr>
      </w:pPr>
      <w:r w:rsidRPr="000815F2">
        <w:rPr>
          <w:i/>
          <w:u w:val="single"/>
        </w:rPr>
        <w:t xml:space="preserve">82 Namjenski primici od zaduživanja kroz refundacije </w:t>
      </w:r>
    </w:p>
    <w:p w14:paraId="632847FB" w14:textId="6A5271F4" w:rsidR="004340A9" w:rsidRDefault="004340A9" w:rsidP="000815F2">
      <w:pPr>
        <w:pStyle w:val="zadopise"/>
        <w:ind w:left="708"/>
      </w:pPr>
      <w:r>
        <w:t xml:space="preserve">U okviru ovog </w:t>
      </w:r>
      <w:proofErr w:type="spellStart"/>
      <w:r w:rsidR="009A10E9">
        <w:t>pod</w:t>
      </w:r>
      <w:r>
        <w:t>izvora</w:t>
      </w:r>
      <w:proofErr w:type="spellEnd"/>
      <w:r>
        <w:t xml:space="preserve"> planiraju se isključivo zajmovi od međunarodnih organizacija i institucija koji se troše kroz projekte, izvršavaju preko jedinstvenog računa državnog proračuna, a zajmodavac naknadno sredstvima zajma refundira nastale rashode (</w:t>
      </w:r>
      <w:r w:rsidR="005C6B3F">
        <w:t xml:space="preserve">na primjer </w:t>
      </w:r>
      <w:r>
        <w:t xml:space="preserve">projekti financirani iz zajmova CEB-a i EIB-a). </w:t>
      </w:r>
    </w:p>
    <w:p w14:paraId="1B5E4639" w14:textId="77777777" w:rsidR="004340A9" w:rsidRPr="000815F2" w:rsidRDefault="004340A9" w:rsidP="004340A9">
      <w:pPr>
        <w:pStyle w:val="zadopise"/>
        <w:numPr>
          <w:ilvl w:val="0"/>
          <w:numId w:val="17"/>
        </w:numPr>
        <w:spacing w:before="80"/>
        <w:ind w:left="714" w:hanging="357"/>
        <w:rPr>
          <w:i/>
          <w:u w:val="single"/>
        </w:rPr>
      </w:pPr>
      <w:r w:rsidRPr="000815F2">
        <w:rPr>
          <w:i/>
          <w:u w:val="single"/>
        </w:rPr>
        <w:t xml:space="preserve">83 Namjenski primici od inozemnog zaduživanja </w:t>
      </w:r>
    </w:p>
    <w:p w14:paraId="0AB8AA9D" w14:textId="77EA96DF" w:rsidR="004340A9" w:rsidRDefault="004340A9" w:rsidP="000815F2">
      <w:pPr>
        <w:pStyle w:val="zadopise"/>
        <w:ind w:left="708"/>
      </w:pPr>
      <w:r>
        <w:t xml:space="preserve">U okviru ovog </w:t>
      </w:r>
      <w:proofErr w:type="spellStart"/>
      <w:r w:rsidR="009A10E9">
        <w:t>pod</w:t>
      </w:r>
      <w:r>
        <w:t>izvora</w:t>
      </w:r>
      <w:proofErr w:type="spellEnd"/>
      <w:r>
        <w:t xml:space="preserve"> planiraju se isključivo zajmovi od međunarodnih organizacija i institucija koji se izvršavaju preko posebnih (namjenskih) računa u poslovnim bankama</w:t>
      </w:r>
      <w:r w:rsidRPr="00382AA8">
        <w:t>.</w:t>
      </w:r>
      <w:r w:rsidR="000815F2">
        <w:t xml:space="preserve"> Međutim, kao što je već navedeno, u okviru ovoga izvora prate se projekti/zajmovi za koje su ranije otvoreni specijalni računi, ali svi novi projekti/zajmovi uplaćuju se na račun državnog proračuna.</w:t>
      </w:r>
    </w:p>
    <w:p w14:paraId="6975FB76" w14:textId="52CB9E9B" w:rsidR="00D41AF0" w:rsidRDefault="00D41AF0" w:rsidP="000815F2">
      <w:pPr>
        <w:pStyle w:val="zadopise"/>
        <w:ind w:left="708"/>
      </w:pPr>
      <w:r w:rsidRPr="00D41AF0">
        <w:t>Ostvareni primici te izvršeni rashodi i izdaci</w:t>
      </w:r>
      <w:r w:rsidR="000815F2">
        <w:rPr>
          <w:rStyle w:val="Referencafusnote"/>
        </w:rPr>
        <w:footnoteReference w:id="2"/>
      </w:r>
      <w:r w:rsidRPr="00D41AF0">
        <w:t xml:space="preserve"> iz navedenih zajmova </w:t>
      </w:r>
      <w:r>
        <w:t xml:space="preserve">planiranih u okviru </w:t>
      </w:r>
      <w:proofErr w:type="spellStart"/>
      <w:r>
        <w:t>podizvora</w:t>
      </w:r>
      <w:proofErr w:type="spellEnd"/>
      <w:r>
        <w:t xml:space="preserve"> </w:t>
      </w:r>
      <w:r w:rsidRPr="00763544">
        <w:rPr>
          <w:i/>
        </w:rPr>
        <w:t>83</w:t>
      </w:r>
      <w:r>
        <w:t xml:space="preserve"> </w:t>
      </w:r>
      <w:r w:rsidRPr="00D41AF0">
        <w:t xml:space="preserve">evidentiraju se u sustavu državne riznice (u državnom proračunu) temeljem zaprimljenih izvoda i ostale </w:t>
      </w:r>
      <w:r w:rsidR="00B000C0">
        <w:t xml:space="preserve">vjerodostojne </w:t>
      </w:r>
      <w:r w:rsidRPr="00D41AF0">
        <w:t>dokumentacije. Evidentiranje primitaka te rashoda</w:t>
      </w:r>
      <w:r w:rsidR="009C147D">
        <w:t>/</w:t>
      </w:r>
      <w:r w:rsidRPr="00D41AF0">
        <w:t xml:space="preserve">izdataka iz ovoga </w:t>
      </w:r>
      <w:proofErr w:type="spellStart"/>
      <w:r w:rsidR="0063593B">
        <w:t>pod</w:t>
      </w:r>
      <w:r w:rsidRPr="00D41AF0">
        <w:t>izvora</w:t>
      </w:r>
      <w:proofErr w:type="spellEnd"/>
      <w:r w:rsidRPr="00D41AF0">
        <w:t xml:space="preserve"> u državn</w:t>
      </w:r>
      <w:r w:rsidR="00382AA8">
        <w:t>om</w:t>
      </w:r>
      <w:r w:rsidRPr="00D41AF0">
        <w:t xml:space="preserve"> proračun</w:t>
      </w:r>
      <w:r w:rsidR="00382AA8">
        <w:t>u</w:t>
      </w:r>
      <w:r w:rsidRPr="00D41AF0">
        <w:t xml:space="preserve"> provodi Ministarstvo financija, Državna riznica, Sektor za državno računovodstvo i računovodstvo neprofitnih organizacija. U informacijskom sustavu državne riznice evidentira se uplata na odgovarajućem kontu primitka i </w:t>
      </w:r>
      <w:proofErr w:type="spellStart"/>
      <w:r w:rsidR="0063593B">
        <w:t>pod</w:t>
      </w:r>
      <w:r w:rsidRPr="00D41AF0">
        <w:t>izvoru</w:t>
      </w:r>
      <w:proofErr w:type="spellEnd"/>
      <w:r w:rsidRPr="00D41AF0">
        <w:t xml:space="preserve"> financiranja u visini uplaćenih sredstava po gotovinskom načelu. Uplaćena sredstva automatski se evidentiraju na proračunskog korisnika tj. na glavu/RKP </w:t>
      </w:r>
      <w:r w:rsidR="00BE0FF0">
        <w:t xml:space="preserve">proračunskog </w:t>
      </w:r>
      <w:r w:rsidRPr="00D41AF0">
        <w:t>korisnika koji je planirao i povukao zajam</w:t>
      </w:r>
      <w:r w:rsidR="000815F2" w:rsidRPr="00833C6D">
        <w:rPr>
          <w:rStyle w:val="Referencafusnote"/>
        </w:rPr>
        <w:footnoteReference w:id="3"/>
      </w:r>
      <w:r w:rsidRPr="00833C6D">
        <w:rPr>
          <w:rStyle w:val="Referencafusnote"/>
        </w:rPr>
        <w:t>.</w:t>
      </w:r>
      <w:r w:rsidRPr="00D41AF0">
        <w:t xml:space="preserve"> To znači da se uplaćena sredstva</w:t>
      </w:r>
      <w:r w:rsidR="000815F2">
        <w:t>, u skladu s namjenom propisanom ugovorom o zajmu,</w:t>
      </w:r>
      <w:r w:rsidRPr="00D41AF0">
        <w:t xml:space="preserve"> stavljaju na raspolaganje isključivo proračunskom korisniku koji je ostvario sredstva iz zajma i isključivo taj proračunski korisnik može koristiti uplaćena sredstva.</w:t>
      </w:r>
      <w:r w:rsidR="00382AA8">
        <w:t xml:space="preserve"> Upravo to je i razlog </w:t>
      </w:r>
      <w:r w:rsidR="00B000C0">
        <w:t>zbog</w:t>
      </w:r>
      <w:r w:rsidR="00382AA8">
        <w:t xml:space="preserve"> kojeg sredstva zajma proračunski korisnik evidentira kao primitke od zajmova (podskupina </w:t>
      </w:r>
      <w:r w:rsidR="00B000C0">
        <w:t xml:space="preserve">računa </w:t>
      </w:r>
      <w:r w:rsidR="00382AA8" w:rsidRPr="00763544">
        <w:rPr>
          <w:i/>
        </w:rPr>
        <w:t>841</w:t>
      </w:r>
      <w:r w:rsidR="00B000C0" w:rsidRPr="00763544">
        <w:rPr>
          <w:i/>
        </w:rPr>
        <w:t xml:space="preserve"> </w:t>
      </w:r>
      <w:r w:rsidR="00B000C0" w:rsidRPr="00833C6D">
        <w:rPr>
          <w:i/>
        </w:rPr>
        <w:t>Primljeni krediti i zajmovi od međunarodnih organizacija, institucija i tijela EU te inozemnih vlada</w:t>
      </w:r>
      <w:r w:rsidR="00382AA8">
        <w:t xml:space="preserve">), a ne kao prihod iz proračuna za financiranje redovnog poslovanja (podskupina računa </w:t>
      </w:r>
      <w:r w:rsidR="00382AA8" w:rsidRPr="00763544">
        <w:rPr>
          <w:i/>
        </w:rPr>
        <w:t>671</w:t>
      </w:r>
      <w:r w:rsidR="00B000C0">
        <w:t xml:space="preserve"> </w:t>
      </w:r>
      <w:r w:rsidR="00FD0014" w:rsidRPr="00833C6D">
        <w:rPr>
          <w:i/>
        </w:rPr>
        <w:t>Prihodi iz nadležnog proračuna za financiranje redovne djelatnosti proračunskih korisnika</w:t>
      </w:r>
      <w:r w:rsidR="00382AA8">
        <w:t>).</w:t>
      </w:r>
    </w:p>
    <w:p w14:paraId="3E8FEE71" w14:textId="77777777" w:rsidR="000815F2" w:rsidRDefault="000815F2" w:rsidP="007B7785">
      <w:pPr>
        <w:pStyle w:val="zadopise"/>
      </w:pPr>
    </w:p>
    <w:p w14:paraId="1E72ECD8" w14:textId="77777777" w:rsidR="000815F2" w:rsidRDefault="000815F2" w:rsidP="007B7785">
      <w:pPr>
        <w:pStyle w:val="zadopise"/>
      </w:pPr>
    </w:p>
    <w:p w14:paraId="2BC7BC43" w14:textId="54433320" w:rsidR="00232174" w:rsidRDefault="007B7785" w:rsidP="007B7785">
      <w:pPr>
        <w:pStyle w:val="zadopise"/>
      </w:pPr>
      <w:r>
        <w:t xml:space="preserve">Rashodi i izdaci koji se financiraju iz namjenskih primitaka </w:t>
      </w:r>
      <w:r w:rsidR="005C6B3F">
        <w:t>planiraju se prema prirodnoj vrsti</w:t>
      </w:r>
      <w:r w:rsidR="001935D8">
        <w:t xml:space="preserve">, na, kao što je navedeno, pozicijama proračunskog korisnika koji provodi projekt. </w:t>
      </w:r>
      <w:r w:rsidR="00382AA8">
        <w:t xml:space="preserve">Sredstva planirana u okviru </w:t>
      </w:r>
      <w:proofErr w:type="spellStart"/>
      <w:r w:rsidR="00382AA8">
        <w:t>podizvora</w:t>
      </w:r>
      <w:proofErr w:type="spellEnd"/>
      <w:r w:rsidR="00382AA8">
        <w:t xml:space="preserve"> </w:t>
      </w:r>
      <w:r w:rsidR="00382AA8" w:rsidRPr="00382AA8">
        <w:rPr>
          <w:i/>
        </w:rPr>
        <w:t>81</w:t>
      </w:r>
      <w:r w:rsidR="00382AA8">
        <w:t xml:space="preserve"> i </w:t>
      </w:r>
      <w:r w:rsidR="00382AA8" w:rsidRPr="00382AA8">
        <w:rPr>
          <w:i/>
        </w:rPr>
        <w:t>83</w:t>
      </w:r>
      <w:r w:rsidR="00382AA8">
        <w:t xml:space="preserve"> m</w:t>
      </w:r>
      <w:r>
        <w:t xml:space="preserve">ogu se izvršavati do iznosa uplaćenih, odnosno raspoloživih sredstava, bez obzira na visinu plana, uz prethodnu suglasnost Ministarstva financija. </w:t>
      </w:r>
      <w:r w:rsidR="009F459E">
        <w:t xml:space="preserve">Ako </w:t>
      </w:r>
      <w:r>
        <w:t>se ovi primici ostvare, a ne potroše, mogu se prenositi na trošenje iz jedne u drugu proračunsku godinu, a uplaćeni i/ili preneseni primici mogu se koristiti prema naknadno utvrđenim aktivnostima i/ili projektima u proračunu uz prethodnu suglasnost Ministarstva financija.</w:t>
      </w:r>
    </w:p>
    <w:p w14:paraId="288E1F66" w14:textId="77777777" w:rsidR="00232174" w:rsidRDefault="00232174" w:rsidP="00A05689">
      <w:pPr>
        <w:pStyle w:val="zadopise"/>
      </w:pPr>
    </w:p>
    <w:p w14:paraId="3427FAEC" w14:textId="7AC71921" w:rsidR="00B64B1F" w:rsidRDefault="00B111F0" w:rsidP="00A05689">
      <w:pPr>
        <w:pStyle w:val="zadopise"/>
      </w:pPr>
      <w:r>
        <w:lastRenderedPageBreak/>
        <w:t>Rashodi</w:t>
      </w:r>
      <w:r w:rsidR="00B64B1F">
        <w:t xml:space="preserve"> planiran</w:t>
      </w:r>
      <w:r>
        <w:t>i</w:t>
      </w:r>
      <w:r w:rsidR="00B64B1F">
        <w:t xml:space="preserve"> u okviru </w:t>
      </w:r>
      <w:proofErr w:type="spellStart"/>
      <w:r w:rsidR="00B64B1F">
        <w:t>podizvora</w:t>
      </w:r>
      <w:proofErr w:type="spellEnd"/>
      <w:r w:rsidR="00B64B1F">
        <w:t xml:space="preserve"> </w:t>
      </w:r>
      <w:r w:rsidR="00B64B1F" w:rsidRPr="00B111F0">
        <w:rPr>
          <w:i/>
        </w:rPr>
        <w:t>82 Namjenski primici od zaduživanja kroz refundacije</w:t>
      </w:r>
      <w:r w:rsidR="00B64B1F">
        <w:t xml:space="preserve"> mogu se izvršavati do visine </w:t>
      </w:r>
      <w:r w:rsidRPr="00B111F0">
        <w:t>plan</w:t>
      </w:r>
      <w:r>
        <w:t>a</w:t>
      </w:r>
      <w:r w:rsidRPr="00B111F0">
        <w:t xml:space="preserve"> </w:t>
      </w:r>
      <w:r>
        <w:t>neovisno o naplaćenim primicima.</w:t>
      </w:r>
    </w:p>
    <w:p w14:paraId="7414D365" w14:textId="77777777" w:rsidR="00B64B1F" w:rsidRDefault="00B64B1F" w:rsidP="00A05689">
      <w:pPr>
        <w:pStyle w:val="zadopise"/>
      </w:pPr>
    </w:p>
    <w:p w14:paraId="6F574359" w14:textId="77777777" w:rsidR="003E6C32" w:rsidRDefault="003E6C32" w:rsidP="00A05689">
      <w:pPr>
        <w:pStyle w:val="zadopise"/>
      </w:pPr>
      <w:r w:rsidRPr="000815F2">
        <w:t xml:space="preserve">Primici od zaduživanja kod međunarodnih financijskih institucija iz izvora </w:t>
      </w:r>
      <w:r w:rsidRPr="000815F2">
        <w:rPr>
          <w:i/>
        </w:rPr>
        <w:t xml:space="preserve">8 Namjenski primici </w:t>
      </w:r>
      <w:r w:rsidRPr="000815F2">
        <w:t>evidentiraju se analitički na devetoj razini Računskog plana kako bi se mogla pratiti uplata po svakom pojedinom zajmu. Popis analitičkih računa za iskazivanje primitaka od</w:t>
      </w:r>
      <w:r>
        <w:t xml:space="preserve"> zaduživanja dan je u </w:t>
      </w:r>
      <w:r w:rsidR="003A2A4C" w:rsidRPr="00DE6E96">
        <w:rPr>
          <w:i/>
        </w:rPr>
        <w:t>V</w:t>
      </w:r>
      <w:r w:rsidRPr="00DE6E96">
        <w:rPr>
          <w:i/>
        </w:rPr>
        <w:t>eznim tablicama</w:t>
      </w:r>
      <w:r w:rsidR="003A2A4C" w:rsidRPr="00DE6E96">
        <w:rPr>
          <w:i/>
        </w:rPr>
        <w:t xml:space="preserve"> prihoda i primitaka</w:t>
      </w:r>
      <w:r>
        <w:t>, u kojima se, uz analitički račun, navodi povezana stavka</w:t>
      </w:r>
      <w:r w:rsidR="003A2A4C">
        <w:t xml:space="preserve"> i</w:t>
      </w:r>
      <w:r>
        <w:t xml:space="preserve"> izvor financiranja</w:t>
      </w:r>
      <w:r w:rsidR="003A2A4C">
        <w:t xml:space="preserve">. </w:t>
      </w:r>
      <w:r w:rsidR="003A2A4C" w:rsidRPr="00DE6E96">
        <w:rPr>
          <w:i/>
        </w:rPr>
        <w:t>Vezne tablice</w:t>
      </w:r>
      <w:r w:rsidR="003A2A4C">
        <w:t xml:space="preserve"> </w:t>
      </w:r>
      <w:r w:rsidR="00DE6E96">
        <w:t>su objavljene</w:t>
      </w:r>
      <w:r w:rsidR="003A2A4C">
        <w:t xml:space="preserve"> na internetskoj stranici Ministarstva financija.</w:t>
      </w:r>
    </w:p>
    <w:p w14:paraId="01BFAF7D" w14:textId="77777777" w:rsidR="00AF33B3" w:rsidRDefault="00AF33B3" w:rsidP="00A05689">
      <w:pPr>
        <w:pStyle w:val="zadopise"/>
      </w:pPr>
    </w:p>
    <w:p w14:paraId="31BBEF28" w14:textId="5703D651" w:rsidR="00AF33B3" w:rsidRDefault="00AF33B3" w:rsidP="00A05689">
      <w:pPr>
        <w:pStyle w:val="zadopise"/>
      </w:pPr>
      <w:r>
        <w:t xml:space="preserve">Sredstva učešća Republike Hrvatske u financiranju projekta, koja su, kao što je ranije navedeno, često uvjet za odobravanje zajma od međunarodne financijske institucije, planiraju se u okviru </w:t>
      </w:r>
      <w:proofErr w:type="spellStart"/>
      <w:r w:rsidR="0063593B">
        <w:t>pod</w:t>
      </w:r>
      <w:r>
        <w:t>izvora</w:t>
      </w:r>
      <w:proofErr w:type="spellEnd"/>
      <w:r>
        <w:t xml:space="preserve"> </w:t>
      </w:r>
      <w:r w:rsidR="000815F2" w:rsidRPr="000815F2">
        <w:rPr>
          <w:i/>
        </w:rPr>
        <w:t>13 Sredstva učešća za zajmove</w:t>
      </w:r>
      <w:r>
        <w:t xml:space="preserve">. </w:t>
      </w:r>
    </w:p>
    <w:p w14:paraId="11D29379" w14:textId="77777777" w:rsidR="003E6C32" w:rsidRDefault="003E6C32" w:rsidP="00A05689">
      <w:pPr>
        <w:pStyle w:val="zadopise"/>
      </w:pPr>
    </w:p>
    <w:p w14:paraId="56704D71" w14:textId="7485295C" w:rsidR="001935D8" w:rsidRDefault="00EE08A2" w:rsidP="00A05689">
      <w:pPr>
        <w:pStyle w:val="zadopise"/>
      </w:pPr>
      <w:r w:rsidRPr="008F6C44">
        <w:t xml:space="preserve">Otplate dospjelih zajmova planira </w:t>
      </w:r>
      <w:r w:rsidR="003E6C32">
        <w:t>Ministarstvo financija</w:t>
      </w:r>
      <w:r w:rsidR="001935D8" w:rsidRPr="008F6C44">
        <w:t xml:space="preserve"> </w:t>
      </w:r>
      <w:r w:rsidRPr="008F6C44">
        <w:t>kroz račun financiranja državnog proračuna kao izda</w:t>
      </w:r>
      <w:r w:rsidR="003E6C32">
        <w:t>tke</w:t>
      </w:r>
      <w:r w:rsidRPr="008F6C44">
        <w:t xml:space="preserve"> za otplatu primljenih zajmova u razredu 5</w:t>
      </w:r>
      <w:r w:rsidR="00007D75">
        <w:t xml:space="preserve"> Računskog plana</w:t>
      </w:r>
      <w:r w:rsidR="005C6B3F">
        <w:t xml:space="preserve">, </w:t>
      </w:r>
      <w:r w:rsidR="005C6B3F" w:rsidRPr="000815F2">
        <w:t>a u posebnom dijelu državnog proračuna planiraju se na pozicijama glave 02506 Ministarstvo financija – ostali izdaci države</w:t>
      </w:r>
      <w:r w:rsidRPr="000815F2">
        <w:t>.</w:t>
      </w:r>
      <w:r w:rsidRPr="008F6C44">
        <w:t xml:space="preserve"> </w:t>
      </w:r>
    </w:p>
    <w:p w14:paraId="2D57C2A4" w14:textId="77777777" w:rsidR="00AF33B3" w:rsidRPr="008F6C44" w:rsidRDefault="00AF33B3" w:rsidP="00D41AF0">
      <w:pPr>
        <w:pStyle w:val="zadopise"/>
      </w:pPr>
    </w:p>
    <w:p w14:paraId="1AD2D836" w14:textId="77777777" w:rsidR="003E6C32" w:rsidRDefault="003E6C32" w:rsidP="0009372A">
      <w:pPr>
        <w:pStyle w:val="zadopise"/>
      </w:pPr>
    </w:p>
    <w:p w14:paraId="25BD3FCC" w14:textId="77777777" w:rsidR="003E6C32" w:rsidRDefault="003E6C32" w:rsidP="005B7506">
      <w:pPr>
        <w:pStyle w:val="zadopise"/>
        <w:keepNext/>
        <w:numPr>
          <w:ilvl w:val="1"/>
          <w:numId w:val="11"/>
        </w:numPr>
        <w:outlineLvl w:val="1"/>
        <w:rPr>
          <w:b/>
        </w:rPr>
      </w:pPr>
      <w:bookmarkStart w:id="7" w:name="_Toc40882804"/>
      <w:bookmarkStart w:id="8" w:name="_Toc64361656"/>
      <w:r w:rsidRPr="00D41AF0">
        <w:rPr>
          <w:b/>
        </w:rPr>
        <w:t>Knjigovodstveno evidentiranje i financijski izvještaji</w:t>
      </w:r>
      <w:bookmarkEnd w:id="7"/>
      <w:bookmarkEnd w:id="8"/>
    </w:p>
    <w:p w14:paraId="68454714" w14:textId="77777777" w:rsidR="003E6C32" w:rsidRDefault="003E6C32" w:rsidP="00DE6E96">
      <w:pPr>
        <w:pStyle w:val="zadopise"/>
        <w:keepNext/>
      </w:pPr>
    </w:p>
    <w:p w14:paraId="44C4BF87" w14:textId="5BD21321" w:rsidR="001935D8" w:rsidRDefault="001935D8" w:rsidP="0009372A">
      <w:pPr>
        <w:pStyle w:val="zadopise"/>
      </w:pPr>
      <w:r w:rsidRPr="001935D8">
        <w:t xml:space="preserve">Način evidentiranja primitaka od zaduživanja i obveza po zaduživanju propisuje članak 78. Pravilnika o proračunskom računovodstvu i Računskom planu. Prema odredbama navedenog članka, primljeni dugoročni krediti i kratkoročni koji se vraćaju u sljedećoj godini, evidentiraju se u okviru primitaka od zaduživanja u </w:t>
      </w:r>
      <w:r w:rsidR="00007D75">
        <w:t xml:space="preserve">okviru </w:t>
      </w:r>
      <w:r w:rsidRPr="001935D8">
        <w:t>skupin</w:t>
      </w:r>
      <w:r w:rsidR="00007D75">
        <w:t>e</w:t>
      </w:r>
      <w:r w:rsidRPr="001935D8">
        <w:t xml:space="preserve"> </w:t>
      </w:r>
      <w:r w:rsidRPr="00763544">
        <w:rPr>
          <w:i/>
        </w:rPr>
        <w:t>84</w:t>
      </w:r>
      <w:r w:rsidR="00007D75" w:rsidRPr="00763544">
        <w:rPr>
          <w:i/>
        </w:rPr>
        <w:t xml:space="preserve"> </w:t>
      </w:r>
      <w:r w:rsidR="00007D75" w:rsidRPr="00833C6D">
        <w:rPr>
          <w:i/>
        </w:rPr>
        <w:t>Primici od zaduživanja</w:t>
      </w:r>
      <w:r w:rsidRPr="001935D8">
        <w:t xml:space="preserve"> i u okviru novčanih sredstava skupin</w:t>
      </w:r>
      <w:r w:rsidR="00007D75">
        <w:t>e</w:t>
      </w:r>
      <w:r w:rsidRPr="001935D8">
        <w:t xml:space="preserve"> </w:t>
      </w:r>
      <w:r w:rsidRPr="00763544">
        <w:rPr>
          <w:i/>
        </w:rPr>
        <w:t>11</w:t>
      </w:r>
      <w:r w:rsidR="00007D75">
        <w:t xml:space="preserve"> </w:t>
      </w:r>
      <w:r w:rsidR="00007D75" w:rsidRPr="00833C6D">
        <w:rPr>
          <w:i/>
        </w:rPr>
        <w:t>Novac u banci i blagajni</w:t>
      </w:r>
      <w:r w:rsidRPr="001935D8">
        <w:t xml:space="preserve">, a istodobno se evidentiraju obveze za zajmove u </w:t>
      </w:r>
      <w:r w:rsidR="00007D75">
        <w:t xml:space="preserve">okviru </w:t>
      </w:r>
      <w:r w:rsidRPr="001935D8">
        <w:t>skupin</w:t>
      </w:r>
      <w:r w:rsidR="00007D75">
        <w:t>e</w:t>
      </w:r>
      <w:r w:rsidRPr="001935D8">
        <w:t xml:space="preserve"> </w:t>
      </w:r>
      <w:r w:rsidRPr="00763544">
        <w:rPr>
          <w:i/>
        </w:rPr>
        <w:t>26</w:t>
      </w:r>
      <w:r w:rsidR="00007D75">
        <w:t xml:space="preserve"> </w:t>
      </w:r>
      <w:r w:rsidR="00007D75" w:rsidRPr="00833C6D">
        <w:rPr>
          <w:i/>
        </w:rPr>
        <w:t>Obveze za kredite i zajmove</w:t>
      </w:r>
      <w:r w:rsidRPr="001935D8">
        <w:t xml:space="preserve"> i ispravak izvora vlasništva u </w:t>
      </w:r>
      <w:r w:rsidR="00007D75">
        <w:t xml:space="preserve">okviru </w:t>
      </w:r>
      <w:r w:rsidRPr="001935D8">
        <w:t>skupin</w:t>
      </w:r>
      <w:r w:rsidR="00007D75">
        <w:t>e</w:t>
      </w:r>
      <w:r w:rsidRPr="001935D8">
        <w:t xml:space="preserve"> </w:t>
      </w:r>
      <w:r w:rsidRPr="00763544">
        <w:rPr>
          <w:i/>
        </w:rPr>
        <w:t>91</w:t>
      </w:r>
      <w:r w:rsidR="00007D75">
        <w:t xml:space="preserve"> </w:t>
      </w:r>
      <w:r w:rsidR="00007D75" w:rsidRPr="00833C6D">
        <w:rPr>
          <w:i/>
        </w:rPr>
        <w:t>Vlastiti izvori i ispravak vlastitih izvora</w:t>
      </w:r>
      <w:r w:rsidRPr="001935D8">
        <w:t>.</w:t>
      </w:r>
    </w:p>
    <w:p w14:paraId="4AF48226" w14:textId="77777777" w:rsidR="00232174" w:rsidRDefault="00232174" w:rsidP="0009372A">
      <w:pPr>
        <w:pStyle w:val="zadopise"/>
      </w:pPr>
    </w:p>
    <w:p w14:paraId="2131B90F" w14:textId="1CDE3862" w:rsidR="003A2A4C" w:rsidRDefault="003A2A4C" w:rsidP="003A2A4C">
      <w:pPr>
        <w:pStyle w:val="zadopise"/>
      </w:pPr>
      <w:r>
        <w:t>Proračunski korisnik</w:t>
      </w:r>
      <w:r w:rsidR="000D563A">
        <w:t xml:space="preserve"> državnog proračuna</w:t>
      </w:r>
      <w:r>
        <w:t xml:space="preserve"> u čijoj je nadležnosti projekt odgovoran je za provedbu projekta na način propisan ugovorom i zakonom o potvrđivanju ugovora. U svojim poslovnim evidencijama prati provedbu projekta i mora osigurati Ministarstvu financija</w:t>
      </w:r>
      <w:r w:rsidR="00572462">
        <w:t>, a po potrebi</w:t>
      </w:r>
      <w:r>
        <w:t xml:space="preserve"> i nadležnom razdjelu</w:t>
      </w:r>
      <w:r w:rsidR="00572462">
        <w:t>,</w:t>
      </w:r>
      <w:r>
        <w:t xml:space="preserve"> sve potrebne podatke </w:t>
      </w:r>
      <w:r w:rsidR="000815F2">
        <w:t>vezano uz</w:t>
      </w:r>
      <w:r>
        <w:t xml:space="preserve"> eviden</w:t>
      </w:r>
      <w:r w:rsidR="00572462">
        <w:t>tiranja</w:t>
      </w:r>
      <w:r>
        <w:t xml:space="preserve"> u državnom proračunu </w:t>
      </w:r>
      <w:r w:rsidR="00572462">
        <w:t>(</w:t>
      </w:r>
      <w:r>
        <w:t>o ukupnom iznosu realiziranog zajma, ukupnoj potrošnji sredstava zajma vezanih za projekt</w:t>
      </w:r>
      <w:r w:rsidR="00572462">
        <w:t>…)</w:t>
      </w:r>
      <w:r>
        <w:t xml:space="preserve">. </w:t>
      </w:r>
    </w:p>
    <w:p w14:paraId="0B953258" w14:textId="77777777" w:rsidR="003A2A4C" w:rsidRDefault="003A2A4C" w:rsidP="0009372A">
      <w:pPr>
        <w:pStyle w:val="zadopise"/>
      </w:pPr>
    </w:p>
    <w:p w14:paraId="75B90ECA" w14:textId="77777777" w:rsidR="00DE6E96" w:rsidRPr="008F6C44" w:rsidRDefault="00DE6E96" w:rsidP="0009372A">
      <w:pPr>
        <w:pStyle w:val="zadopise"/>
      </w:pPr>
    </w:p>
    <w:p w14:paraId="2A9C0844" w14:textId="77777777" w:rsidR="00FD76C3" w:rsidRDefault="00FD76C3" w:rsidP="005B7506">
      <w:pPr>
        <w:pStyle w:val="zadopise"/>
        <w:keepNext/>
        <w:numPr>
          <w:ilvl w:val="2"/>
          <w:numId w:val="11"/>
        </w:numPr>
        <w:outlineLvl w:val="2"/>
        <w:rPr>
          <w:b/>
        </w:rPr>
      </w:pPr>
      <w:bookmarkStart w:id="9" w:name="_Toc40882805"/>
      <w:bookmarkStart w:id="10" w:name="_Toc64361657"/>
      <w:proofErr w:type="spellStart"/>
      <w:r w:rsidRPr="00FD76C3">
        <w:rPr>
          <w:b/>
        </w:rPr>
        <w:t>Podizvori</w:t>
      </w:r>
      <w:proofErr w:type="spellEnd"/>
      <w:r w:rsidRPr="00FD76C3">
        <w:rPr>
          <w:b/>
        </w:rPr>
        <w:t xml:space="preserve"> financiranja </w:t>
      </w:r>
      <w:r w:rsidRPr="00FD76C3">
        <w:rPr>
          <w:b/>
          <w:i/>
        </w:rPr>
        <w:t>81 Namjenski primici od zaduživanja</w:t>
      </w:r>
      <w:r w:rsidRPr="00FD76C3">
        <w:rPr>
          <w:b/>
        </w:rPr>
        <w:t xml:space="preserve"> </w:t>
      </w:r>
      <w:r>
        <w:rPr>
          <w:b/>
        </w:rPr>
        <w:t xml:space="preserve">i </w:t>
      </w:r>
      <w:r w:rsidRPr="00FD76C3">
        <w:rPr>
          <w:b/>
          <w:i/>
        </w:rPr>
        <w:t>83 Namjenski primici od inozemnog zaduživanja</w:t>
      </w:r>
      <w:bookmarkEnd w:id="9"/>
      <w:bookmarkEnd w:id="10"/>
      <w:r w:rsidRPr="00FD76C3">
        <w:rPr>
          <w:b/>
        </w:rPr>
        <w:t xml:space="preserve"> </w:t>
      </w:r>
    </w:p>
    <w:p w14:paraId="7BB4582F" w14:textId="77777777" w:rsidR="00FD76C3" w:rsidRDefault="00FD76C3" w:rsidP="00FD76C3">
      <w:pPr>
        <w:pStyle w:val="zadopise"/>
        <w:keepNext/>
        <w:rPr>
          <w:b/>
        </w:rPr>
      </w:pPr>
    </w:p>
    <w:p w14:paraId="57795DC2" w14:textId="3EF5EDE6" w:rsidR="00D41AF0" w:rsidRPr="00FD76C3" w:rsidRDefault="00D41AF0" w:rsidP="005B7506">
      <w:pPr>
        <w:pStyle w:val="zadopise"/>
        <w:keepNext/>
        <w:numPr>
          <w:ilvl w:val="3"/>
          <w:numId w:val="11"/>
        </w:numPr>
        <w:ind w:left="1276" w:hanging="916"/>
        <w:outlineLvl w:val="3"/>
        <w:rPr>
          <w:b/>
        </w:rPr>
      </w:pPr>
      <w:bookmarkStart w:id="11" w:name="_Toc40882806"/>
      <w:r w:rsidRPr="00FD76C3">
        <w:rPr>
          <w:b/>
        </w:rPr>
        <w:t>Evidencije u Glavnoj knjizi proračunskog korisnika – korisnika projekta</w:t>
      </w:r>
      <w:bookmarkEnd w:id="11"/>
    </w:p>
    <w:p w14:paraId="660EB769" w14:textId="77777777" w:rsidR="005C01D6" w:rsidRDefault="005C01D6" w:rsidP="007B6AA7">
      <w:pPr>
        <w:pStyle w:val="zadopise"/>
        <w:keepNext/>
      </w:pPr>
    </w:p>
    <w:p w14:paraId="5D9F327A" w14:textId="65903C9C" w:rsidR="005C01D6" w:rsidRDefault="00623322" w:rsidP="005C01D6">
      <w:pPr>
        <w:pStyle w:val="zadopise"/>
      </w:pPr>
      <w:r w:rsidRPr="008F6C44">
        <w:t xml:space="preserve">U Glavnoj knjizi korisnika projekta evidentiraju se </w:t>
      </w:r>
      <w:r w:rsidR="005C01D6">
        <w:t xml:space="preserve">primici od zaduživanja i </w:t>
      </w:r>
      <w:r w:rsidRPr="008F6C44">
        <w:t>rashodi</w:t>
      </w:r>
      <w:r w:rsidR="005C01D6">
        <w:t>, odnosno izdaci</w:t>
      </w:r>
      <w:r w:rsidR="009C147D">
        <w:rPr>
          <w:rStyle w:val="Referencafusnote"/>
        </w:rPr>
        <w:footnoteReference w:id="4"/>
      </w:r>
      <w:r w:rsidR="005C01D6">
        <w:t>,</w:t>
      </w:r>
      <w:r w:rsidR="007B6AA7">
        <w:t xml:space="preserve"> projekta. </w:t>
      </w:r>
      <w:r w:rsidR="005C01D6">
        <w:t>Slijedom navedenoga, u financijskom izvještaju proračunskog korisnika (Izvještaju o prihodima i rashodima, primicima i izdacima) također se iskazuju samo p</w:t>
      </w:r>
      <w:r w:rsidR="009C147D">
        <w:t>rimici od zaduživanja i rashodi/</w:t>
      </w:r>
      <w:r w:rsidR="005C01D6">
        <w:t>izdaci projekta.</w:t>
      </w:r>
    </w:p>
    <w:p w14:paraId="2534C94F" w14:textId="77777777" w:rsidR="00833C6D" w:rsidRDefault="00833C6D" w:rsidP="005C01D6">
      <w:pPr>
        <w:pStyle w:val="zadopise"/>
      </w:pPr>
    </w:p>
    <w:p w14:paraId="6C39D3DB" w14:textId="23F1FECC" w:rsidR="00A93210" w:rsidRDefault="002E036D" w:rsidP="00BE0FF0">
      <w:pPr>
        <w:pStyle w:val="zadopise"/>
        <w:keepNext/>
      </w:pPr>
      <w:r>
        <w:lastRenderedPageBreak/>
        <w:t xml:space="preserve">U nastavku se daje primjer evidencija u slučaju kada se radi o projektu/zajmu u okviru </w:t>
      </w:r>
      <w:proofErr w:type="spellStart"/>
      <w:r w:rsidR="00143F84">
        <w:t>pod</w:t>
      </w:r>
      <w:r>
        <w:t>izvora</w:t>
      </w:r>
      <w:proofErr w:type="spellEnd"/>
      <w:r>
        <w:t xml:space="preserve"> </w:t>
      </w:r>
      <w:r w:rsidRPr="007B6AA7">
        <w:rPr>
          <w:i/>
        </w:rPr>
        <w:t>81 Namjenski primici od zaduživanja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00"/>
        <w:gridCol w:w="1168"/>
        <w:gridCol w:w="936"/>
        <w:gridCol w:w="1278"/>
      </w:tblGrid>
      <w:tr w:rsidR="00A93210" w:rsidRPr="00A93210" w14:paraId="0D9D6320" w14:textId="77777777" w:rsidTr="00A93210">
        <w:trPr>
          <w:trHeight w:hRule="exact" w:val="34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17B2A" w14:textId="77777777" w:rsidR="00A93210" w:rsidRPr="00A93210" w:rsidRDefault="00A93210" w:rsidP="00BE0FF0">
            <w:pPr>
              <w:keepNext/>
              <w:tabs>
                <w:tab w:val="left" w:pos="567"/>
              </w:tabs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5E9E72" w14:textId="77777777" w:rsidR="00A93210" w:rsidRPr="00A93210" w:rsidRDefault="00A93210" w:rsidP="00BE0F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1715A" w14:textId="77777777" w:rsidR="00A93210" w:rsidRPr="00A93210" w:rsidRDefault="00A93210" w:rsidP="00BE0FF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66B41" w14:textId="77777777" w:rsidR="00A93210" w:rsidRPr="00A93210" w:rsidRDefault="00A93210" w:rsidP="00BE0FF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Račun</w:t>
            </w:r>
          </w:p>
        </w:tc>
      </w:tr>
      <w:tr w:rsidR="00A93210" w:rsidRPr="00A93210" w14:paraId="5FCC31B9" w14:textId="77777777" w:rsidTr="00A93210">
        <w:trPr>
          <w:trHeight w:hRule="exact" w:val="34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0732D" w14:textId="77777777" w:rsidR="00A93210" w:rsidRPr="00A93210" w:rsidRDefault="00A93210" w:rsidP="00D33D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F7A29" w14:textId="77777777" w:rsidR="00A93210" w:rsidRPr="00A93210" w:rsidRDefault="00A93210" w:rsidP="00D33D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E578D" w14:textId="77777777" w:rsidR="00A93210" w:rsidRPr="00A93210" w:rsidRDefault="00A93210" w:rsidP="00D33D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1A233" w14:textId="77777777" w:rsidR="00A93210" w:rsidRPr="00A93210" w:rsidRDefault="00A93210" w:rsidP="00D33D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Duguje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86089" w14:textId="77777777" w:rsidR="00A93210" w:rsidRPr="00A93210" w:rsidRDefault="00A93210" w:rsidP="00D33D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Potražuje</w:t>
            </w:r>
          </w:p>
        </w:tc>
      </w:tr>
      <w:tr w:rsidR="00A93210" w:rsidRPr="00A93210" w14:paraId="74F3EF9A" w14:textId="77777777" w:rsidTr="002E036D">
        <w:trPr>
          <w:trHeight w:val="15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9C6AC3" w14:textId="77777777" w:rsidR="00A93210" w:rsidRPr="00A93210" w:rsidRDefault="00A93210" w:rsidP="00BE0F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88B8B" w14:textId="77777777" w:rsidR="00A93210" w:rsidRPr="00A93210" w:rsidRDefault="00A93210" w:rsidP="00BE0F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Sredstva zajma su uplaćena na račun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DF8A8" w14:textId="77777777" w:rsidR="00A93210" w:rsidRPr="00A93210" w:rsidRDefault="00A93210" w:rsidP="00BE0FF0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948D5" w14:textId="77777777" w:rsidR="00A93210" w:rsidRPr="00A93210" w:rsidRDefault="00A93210" w:rsidP="00BE0FF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FBDA56" w14:textId="1502D753" w:rsidR="00A93210" w:rsidRPr="00A93210" w:rsidRDefault="00A93210" w:rsidP="00BE0FF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8413</w:t>
            </w:r>
            <w:r w:rsidR="00B95A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9C14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xxxx</w:t>
            </w:r>
          </w:p>
        </w:tc>
      </w:tr>
      <w:tr w:rsidR="00A93210" w:rsidRPr="00A93210" w14:paraId="200189C0" w14:textId="77777777" w:rsidTr="002E036D">
        <w:trPr>
          <w:trHeight w:val="15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BE965" w14:textId="77777777" w:rsidR="00A93210" w:rsidRPr="00A93210" w:rsidRDefault="00A93210" w:rsidP="00BE0F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5AAAD" w14:textId="77777777" w:rsidR="00A93210" w:rsidRDefault="00A93210" w:rsidP="00BE0F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Primljen je račun dobavljača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21604D" w14:textId="77777777" w:rsidR="00A93210" w:rsidRPr="00A93210" w:rsidRDefault="00A93210" w:rsidP="00BE0FF0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83F51" w14:textId="77777777" w:rsidR="00A93210" w:rsidRDefault="00A93210" w:rsidP="00BE0FF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1DBFF" w14:textId="77777777" w:rsidR="00A93210" w:rsidRDefault="00A93210" w:rsidP="00BE0FF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</w:t>
            </w:r>
          </w:p>
        </w:tc>
      </w:tr>
      <w:tr w:rsidR="00A93210" w:rsidRPr="00A93210" w14:paraId="45BB5E92" w14:textId="77777777" w:rsidTr="002E036D">
        <w:trPr>
          <w:trHeight w:hRule="exact" w:val="31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E427E" w14:textId="77777777" w:rsidR="00A93210" w:rsidRPr="00A93210" w:rsidRDefault="00A93210" w:rsidP="00A9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9E160" w14:textId="77777777" w:rsidR="00A93210" w:rsidRPr="00A93210" w:rsidRDefault="00A93210" w:rsidP="00A9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Plaćanje obveze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7CE42" w14:textId="77777777" w:rsidR="00A93210" w:rsidRPr="00A93210" w:rsidRDefault="00A93210" w:rsidP="00A932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07E2A" w14:textId="77777777" w:rsidR="00A93210" w:rsidRPr="00A93210" w:rsidRDefault="00A93210" w:rsidP="00A9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4CFF8" w14:textId="77777777" w:rsidR="00A93210" w:rsidRPr="00A93210" w:rsidRDefault="00A93210" w:rsidP="00A9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16721</w:t>
            </w:r>
          </w:p>
        </w:tc>
      </w:tr>
    </w:tbl>
    <w:p w14:paraId="4027F329" w14:textId="77777777" w:rsidR="00A93210" w:rsidRDefault="00A93210" w:rsidP="005C01D6">
      <w:pPr>
        <w:pStyle w:val="zadopise"/>
      </w:pPr>
    </w:p>
    <w:p w14:paraId="57A849DA" w14:textId="15C8AA02" w:rsidR="002E036D" w:rsidRDefault="002E036D" w:rsidP="005C01D6">
      <w:pPr>
        <w:pStyle w:val="zadopise"/>
      </w:pPr>
      <w:r>
        <w:t xml:space="preserve">Kod projekata/zajmova u okviru </w:t>
      </w:r>
      <w:proofErr w:type="spellStart"/>
      <w:r w:rsidR="00143F84">
        <w:t>pod</w:t>
      </w:r>
      <w:r>
        <w:t>izvora</w:t>
      </w:r>
      <w:proofErr w:type="spellEnd"/>
      <w:r>
        <w:t xml:space="preserve"> </w:t>
      </w:r>
      <w:r w:rsidRPr="007B6AA7">
        <w:rPr>
          <w:i/>
        </w:rPr>
        <w:t>83 Namjenski primici od inozemnog zaduživanja</w:t>
      </w:r>
      <w:r w:rsidR="00B95A56">
        <w:t xml:space="preserve">, </w:t>
      </w:r>
      <w:r w:rsidRPr="002E036D">
        <w:t>koji se izvršavaju preko posebnih (namjenskih) računa u poslovnim bankama</w:t>
      </w:r>
      <w:r w:rsidR="00B95A56">
        <w:t>, proračunski korisnik evidentira priljev na žiro račun (</w:t>
      </w:r>
      <w:r w:rsidR="00B95A56" w:rsidRPr="00833C6D">
        <w:rPr>
          <w:i/>
        </w:rPr>
        <w:t>11122</w:t>
      </w:r>
      <w:r w:rsidR="00071044" w:rsidRPr="00833C6D">
        <w:rPr>
          <w:i/>
        </w:rPr>
        <w:t xml:space="preserve"> Novac na deviznom računu kod tuzemnih poslovnih banaka</w:t>
      </w:r>
      <w:r w:rsidR="00B95A56">
        <w:t>) umjesto potraživanja za sredstva uplaćena na račun državnog proračuna (</w:t>
      </w:r>
      <w:r w:rsidR="00B95A56" w:rsidRPr="00833C6D">
        <w:rPr>
          <w:i/>
        </w:rPr>
        <w:t>16721</w:t>
      </w:r>
      <w:r w:rsidR="00071044">
        <w:t xml:space="preserve"> </w:t>
      </w:r>
      <w:r w:rsidR="00071044" w:rsidRPr="00833C6D">
        <w:rPr>
          <w:i/>
        </w:rPr>
        <w:t>Potraživanja za prihode proračunskih korisnika uplaćene u proračun</w:t>
      </w:r>
      <w:r w:rsidR="00B95A56">
        <w:t>).</w:t>
      </w:r>
    </w:p>
    <w:p w14:paraId="6E2627DA" w14:textId="77777777" w:rsidR="00B95A56" w:rsidRDefault="00B95A56" w:rsidP="005C01D6">
      <w:pPr>
        <w:pStyle w:val="zadopise"/>
      </w:pPr>
    </w:p>
    <w:p w14:paraId="48D3D978" w14:textId="5B2565A8" w:rsidR="00C0339A" w:rsidRDefault="00C0339A" w:rsidP="005C01D6">
      <w:pPr>
        <w:pStyle w:val="zadopise"/>
      </w:pPr>
      <w:r w:rsidRPr="009C147D">
        <w:t>S obzirom na to da proračunski korisnik u svojoj Glavnoj knjizi iskazuje rashode za provedbu projekta te sredstva za financiranje projekta kao primitke od primljenih zajmova, na kraju proračunske godine ostvareni rezultat uključuje manjak p</w:t>
      </w:r>
      <w:r w:rsidR="007B6AA7" w:rsidRPr="009C147D">
        <w:t>rihoda poslovanja/od nefinancijske imovine</w:t>
      </w:r>
      <w:r w:rsidRPr="009C147D">
        <w:t xml:space="preserve"> te višak primitaka od financijske imovine. Budući da izdatke za otplatu zajma iskazuje državni proračun, proračunski korisnik ih ne može iskazati. </w:t>
      </w:r>
      <w:r w:rsidR="009C147D" w:rsidRPr="009C147D">
        <w:t>Stoga, k</w:t>
      </w:r>
      <w:r w:rsidRPr="009C147D">
        <w:t xml:space="preserve">ako proračunski korisnik ne bi iz godine u godinu prenosio ostvareni </w:t>
      </w:r>
      <w:r w:rsidR="007B6AA7" w:rsidRPr="009C147D">
        <w:t>manjak prihoda</w:t>
      </w:r>
      <w:r w:rsidR="009C147D" w:rsidRPr="009C147D">
        <w:t xml:space="preserve"> poslovanja/od nefinancijske imovine</w:t>
      </w:r>
      <w:r w:rsidR="007B6AA7" w:rsidRPr="009C147D">
        <w:t xml:space="preserve"> te </w:t>
      </w:r>
      <w:r w:rsidRPr="009C147D">
        <w:t>višak primitaka od financijske imovine</w:t>
      </w:r>
      <w:r w:rsidR="00316704" w:rsidRPr="009C147D">
        <w:t>,</w:t>
      </w:r>
      <w:r w:rsidR="00AC454E" w:rsidRPr="009C147D">
        <w:t xml:space="preserve"> čelnik proračunskog korisnika</w:t>
      </w:r>
      <w:r w:rsidR="009C147D" w:rsidRPr="009C147D">
        <w:t xml:space="preserve"> sukladno članku 82. Pravilnika o proračunskom računovodstvu i Računskom planu</w:t>
      </w:r>
      <w:r w:rsidR="00AC454E" w:rsidRPr="009C147D">
        <w:t xml:space="preserve"> donosi odluku o </w:t>
      </w:r>
      <w:r w:rsidR="009C147D" w:rsidRPr="009C147D">
        <w:t>raspodjeli rezultata, kojom viškom primitaka od financijske imovine pokriva manjak</w:t>
      </w:r>
      <w:r w:rsidR="00AC454E" w:rsidRPr="009C147D">
        <w:t xml:space="preserve"> prihoda poslovanja/od nefinancijske imovine.</w:t>
      </w:r>
    </w:p>
    <w:p w14:paraId="45B74BAF" w14:textId="33F0521D" w:rsidR="00A42566" w:rsidRDefault="00A42566" w:rsidP="005C01D6">
      <w:pPr>
        <w:pStyle w:val="zadopise"/>
      </w:pPr>
    </w:p>
    <w:p w14:paraId="27BAB926" w14:textId="120D1C11" w:rsidR="00E0476B" w:rsidRDefault="00526200" w:rsidP="00E0476B">
      <w:pPr>
        <w:pStyle w:val="zadopise"/>
      </w:pPr>
      <w:r>
        <w:t xml:space="preserve">Osim financiranja izravne provedbe projekata iz sredstava zajma, ministarstvo ili drugi proračunski korisnik državnog proračuna može, ako je tako predviđeno ugovorom, iz sredstava zajma davati </w:t>
      </w:r>
      <w:proofErr w:type="spellStart"/>
      <w:r>
        <w:t>podzajmove</w:t>
      </w:r>
      <w:proofErr w:type="spellEnd"/>
      <w:r>
        <w:t xml:space="preserve"> drugim subjektima u sustavu proračuna (na primjer izvanproračunskim korisnicima državnog proračuna) za provedbu projekata. U tom slučaju ministarstvo ili drugi proračunski korisnik, umjesto rashoda, u Glavnoj knjizi (kao i u financijskom planu) iskazuje izdatke za dane zajmove. </w:t>
      </w:r>
      <w:r w:rsidR="00E0476B">
        <w:t>U tom slučaju, u Glavnoj knjizi proračunskog korisnika na kraju svake proračunske godine ostvareni rezultat vezan uz provedbu projekta je nula (korisnik ostvaruje primitke od zaduživanja, ali istovremeno u istom iznosu prosljeđuje sredstva preko izdataka za dane zajmove).</w:t>
      </w:r>
    </w:p>
    <w:p w14:paraId="0083811A" w14:textId="6538E494" w:rsidR="00526200" w:rsidRDefault="00526200" w:rsidP="00526200">
      <w:pPr>
        <w:pStyle w:val="zadopise"/>
      </w:pPr>
    </w:p>
    <w:p w14:paraId="12729652" w14:textId="72452774" w:rsidR="00526200" w:rsidRDefault="00526200" w:rsidP="00526200">
      <w:pPr>
        <w:pStyle w:val="zadopise"/>
      </w:pPr>
      <w:r>
        <w:t xml:space="preserve">U skladu s Pravilnikom o proračunskom računovodstvu i Računskom planu, u Glavnoj knjizi se dani dugoročni zajmovi i kratkoročni koji prelaze u sljedeću godinu iskazuju zaduživanjem odgovarajućeg računa u skupini 51 Izdaci za dane zajmove i depozite i odobravanjem računa novčanih sredstava. U slučaju da </w:t>
      </w:r>
      <w:proofErr w:type="spellStart"/>
      <w:r>
        <w:t>podzajam</w:t>
      </w:r>
      <w:proofErr w:type="spellEnd"/>
      <w:r>
        <w:t xml:space="preserve"> iz sredstava </w:t>
      </w:r>
      <w:proofErr w:type="spellStart"/>
      <w:r>
        <w:t>podizvora</w:t>
      </w:r>
      <w:proofErr w:type="spellEnd"/>
      <w:r>
        <w:t xml:space="preserve"> 81 i 83 daje proračunski korisnik koji posluje preko jedinstvenog računa proračuna, on neće iskazati odljev s računa nego će umanjiti potraživanje za sredstva koja mu pripadaju, a uplaćena su na račun državnog proračuna (16721). Istovremeno se zadužuje odgovarajući račun zajmova u skupini 13 i odobrava odgovarajući račun vlastitih izvora u razredu 9. Otplatu zajma od izvanproračunskog korisnika evidentira državni proračun, dok ministarstvo ili drugi proračunski korisnik koji mu je dao zajam iskazuje samo smanjenje potraživanja za dani zajam (9/13).</w:t>
      </w:r>
    </w:p>
    <w:p w14:paraId="024AB36E" w14:textId="77777777" w:rsidR="00C0339A" w:rsidRDefault="00C0339A" w:rsidP="005C01D6">
      <w:pPr>
        <w:pStyle w:val="zadopise"/>
      </w:pPr>
    </w:p>
    <w:p w14:paraId="06D2267B" w14:textId="295D54F9" w:rsidR="00AF33B3" w:rsidRDefault="00AF33B3" w:rsidP="00AF33B3">
      <w:pPr>
        <w:pStyle w:val="zadopise"/>
      </w:pPr>
      <w:r>
        <w:lastRenderedPageBreak/>
        <w:t xml:space="preserve">Sredstva učešća Republike Hrvatske u financiranju projekta planiraju se u okviru </w:t>
      </w:r>
      <w:proofErr w:type="spellStart"/>
      <w:r w:rsidR="00143F84">
        <w:t>pod</w:t>
      </w:r>
      <w:r>
        <w:t>izvora</w:t>
      </w:r>
      <w:proofErr w:type="spellEnd"/>
      <w:r>
        <w:t xml:space="preserve"> </w:t>
      </w:r>
      <w:r w:rsidR="00026435" w:rsidRPr="00026435">
        <w:rPr>
          <w:i/>
        </w:rPr>
        <w:t>13 Sredstva učešća za zajmove</w:t>
      </w:r>
      <w:r>
        <w:t xml:space="preserve">. Navedeno znači da proračunski korisnici u svojoj Glavnoj knjizi evidentiraju rashode/izdatke projekta po prirodnoj vrsti, a nakon plaćanja, u </w:t>
      </w:r>
      <w:r w:rsidR="00026435">
        <w:t>visini iznosa</w:t>
      </w:r>
      <w:r>
        <w:t xml:space="preserve"> plaćenih rashoda/izdataka </w:t>
      </w:r>
      <w:r w:rsidR="00A42566">
        <w:t xml:space="preserve">iz </w:t>
      </w:r>
      <w:proofErr w:type="spellStart"/>
      <w:r w:rsidR="00A42566">
        <w:t>podizvora</w:t>
      </w:r>
      <w:proofErr w:type="spellEnd"/>
      <w:r w:rsidR="00A42566">
        <w:t xml:space="preserve"> 13 </w:t>
      </w:r>
      <w:r>
        <w:t xml:space="preserve">evidentiraju prihod iz državnog proračuna na odgovarajućem osnovnom računu u okviru podskupine </w:t>
      </w:r>
      <w:r w:rsidRPr="00AF33B3">
        <w:rPr>
          <w:i/>
        </w:rPr>
        <w:t>671 Prihodi iz nadležnog proračuna za financiranje redovne djelatnosti proračunskih korisnika</w:t>
      </w:r>
      <w:r>
        <w:t>.</w:t>
      </w:r>
    </w:p>
    <w:p w14:paraId="471AF3E8" w14:textId="77777777" w:rsidR="00AF33B3" w:rsidRDefault="00AF33B3" w:rsidP="005C01D6">
      <w:pPr>
        <w:pStyle w:val="zadopise"/>
      </w:pPr>
    </w:p>
    <w:p w14:paraId="700BF717" w14:textId="77777777" w:rsidR="00AC454E" w:rsidRDefault="00AC454E" w:rsidP="005C01D6">
      <w:pPr>
        <w:pStyle w:val="zadopise"/>
      </w:pPr>
    </w:p>
    <w:p w14:paraId="16132CE3" w14:textId="77777777" w:rsidR="005C01D6" w:rsidRPr="00D41AF0" w:rsidRDefault="005C01D6" w:rsidP="005B7506">
      <w:pPr>
        <w:pStyle w:val="zadopise"/>
        <w:keepNext/>
        <w:numPr>
          <w:ilvl w:val="3"/>
          <w:numId w:val="11"/>
        </w:numPr>
        <w:ind w:left="1276" w:hanging="916"/>
        <w:outlineLvl w:val="3"/>
        <w:rPr>
          <w:b/>
        </w:rPr>
      </w:pPr>
      <w:bookmarkStart w:id="12" w:name="_Toc40882807"/>
      <w:r w:rsidRPr="00D41AF0">
        <w:rPr>
          <w:b/>
        </w:rPr>
        <w:t>Evidencije u Glavnoj knjizi državnog proračuna</w:t>
      </w:r>
      <w:bookmarkEnd w:id="12"/>
    </w:p>
    <w:p w14:paraId="78ADB9EF" w14:textId="77777777" w:rsidR="00D41AF0" w:rsidRDefault="00D41AF0" w:rsidP="007B6AA7">
      <w:pPr>
        <w:pStyle w:val="zadopise"/>
        <w:keepNext/>
      </w:pPr>
    </w:p>
    <w:p w14:paraId="3BC2EBE1" w14:textId="7C6A210D" w:rsidR="005C01D6" w:rsidRDefault="00623322" w:rsidP="0009372A">
      <w:pPr>
        <w:pStyle w:val="zadopise"/>
      </w:pPr>
      <w:r w:rsidRPr="008F6C44">
        <w:t xml:space="preserve">U </w:t>
      </w:r>
      <w:r w:rsidR="005C01D6">
        <w:t>Glavnoj knjizi državnog proračuna</w:t>
      </w:r>
      <w:r w:rsidRPr="008F6C44">
        <w:t xml:space="preserve"> </w:t>
      </w:r>
      <w:r w:rsidR="00CD1172">
        <w:t xml:space="preserve">i financijskom izvještaju </w:t>
      </w:r>
      <w:r w:rsidRPr="008F6C44">
        <w:t>evidentiraju se</w:t>
      </w:r>
      <w:r w:rsidR="005C01D6">
        <w:t>:</w:t>
      </w:r>
    </w:p>
    <w:p w14:paraId="3FDFD980" w14:textId="77777777" w:rsidR="005C01D6" w:rsidRDefault="005C01D6" w:rsidP="00A93210">
      <w:pPr>
        <w:pStyle w:val="zadopise"/>
        <w:numPr>
          <w:ilvl w:val="0"/>
          <w:numId w:val="21"/>
        </w:numPr>
      </w:pPr>
      <w:r>
        <w:t>obveze za zajmove od međunarodnih financijskih institucija</w:t>
      </w:r>
    </w:p>
    <w:p w14:paraId="09A7D746" w14:textId="77777777" w:rsidR="00A93210" w:rsidRDefault="005C01D6" w:rsidP="00A93210">
      <w:pPr>
        <w:pStyle w:val="zadopise"/>
        <w:numPr>
          <w:ilvl w:val="0"/>
          <w:numId w:val="21"/>
        </w:numPr>
      </w:pPr>
      <w:r>
        <w:t xml:space="preserve">izdaci za otplatu glavnice primljenih </w:t>
      </w:r>
      <w:r w:rsidR="00A93210">
        <w:t>zajmova</w:t>
      </w:r>
    </w:p>
    <w:p w14:paraId="42FC79E7" w14:textId="77777777" w:rsidR="00526200" w:rsidRDefault="00A93210" w:rsidP="00A93210">
      <w:pPr>
        <w:pStyle w:val="zadopise"/>
        <w:numPr>
          <w:ilvl w:val="0"/>
          <w:numId w:val="21"/>
        </w:numPr>
      </w:pPr>
      <w:r>
        <w:t>rashodi za kamate za primljene zajmove od međunarodnih financijskih institucija</w:t>
      </w:r>
    </w:p>
    <w:p w14:paraId="06FA4EC2" w14:textId="0388B551" w:rsidR="00623322" w:rsidRPr="008F6C44" w:rsidRDefault="00526200" w:rsidP="00A93210">
      <w:pPr>
        <w:pStyle w:val="zadopise"/>
        <w:numPr>
          <w:ilvl w:val="0"/>
          <w:numId w:val="21"/>
        </w:numPr>
      </w:pPr>
      <w:r>
        <w:t xml:space="preserve">primici od otplate (pod)zajmova koje su ministarstva i drugi proračunski korisnici dali izvanproračunskim korisnicima, a financirani su iz </w:t>
      </w:r>
      <w:proofErr w:type="spellStart"/>
      <w:r>
        <w:t>podizvora</w:t>
      </w:r>
      <w:proofErr w:type="spellEnd"/>
      <w:r>
        <w:t xml:space="preserve"> 81 i 83</w:t>
      </w:r>
      <w:r w:rsidR="00A93210">
        <w:t>.</w:t>
      </w:r>
    </w:p>
    <w:p w14:paraId="4BAC100A" w14:textId="77777777" w:rsidR="00623322" w:rsidRDefault="00623322" w:rsidP="0009372A">
      <w:pPr>
        <w:pStyle w:val="zadopise"/>
      </w:pPr>
    </w:p>
    <w:p w14:paraId="0A96D56F" w14:textId="77777777" w:rsidR="00FD76C3" w:rsidRDefault="00FD76C3" w:rsidP="0009372A">
      <w:pPr>
        <w:pStyle w:val="zadopise"/>
      </w:pPr>
    </w:p>
    <w:p w14:paraId="5786ACC3" w14:textId="7458BC45" w:rsidR="00FD76C3" w:rsidRDefault="00FD76C3" w:rsidP="005B7506">
      <w:pPr>
        <w:pStyle w:val="zadopise"/>
        <w:keepNext/>
        <w:numPr>
          <w:ilvl w:val="2"/>
          <w:numId w:val="11"/>
        </w:numPr>
        <w:outlineLvl w:val="2"/>
        <w:rPr>
          <w:b/>
        </w:rPr>
      </w:pPr>
      <w:bookmarkStart w:id="13" w:name="_Toc40882808"/>
      <w:bookmarkStart w:id="14" w:name="_Toc64361658"/>
      <w:proofErr w:type="spellStart"/>
      <w:r w:rsidRPr="00FD76C3">
        <w:rPr>
          <w:b/>
        </w:rPr>
        <w:t>Podizvor</w:t>
      </w:r>
      <w:proofErr w:type="spellEnd"/>
      <w:r w:rsidRPr="00FD76C3">
        <w:rPr>
          <w:b/>
        </w:rPr>
        <w:t xml:space="preserve"> financiranja </w:t>
      </w:r>
      <w:r w:rsidRPr="005B7506">
        <w:rPr>
          <w:b/>
          <w:i/>
        </w:rPr>
        <w:t>82 Namjenski primici od zaduživanja kroz refundacije</w:t>
      </w:r>
      <w:bookmarkEnd w:id="13"/>
      <w:bookmarkEnd w:id="14"/>
    </w:p>
    <w:p w14:paraId="33557EA4" w14:textId="77777777" w:rsidR="00FD76C3" w:rsidRDefault="00FD76C3" w:rsidP="00FD76C3">
      <w:pPr>
        <w:pStyle w:val="zadopise"/>
        <w:keepNext/>
        <w:rPr>
          <w:b/>
        </w:rPr>
      </w:pPr>
    </w:p>
    <w:p w14:paraId="3805CF33" w14:textId="77777777" w:rsidR="00FD76C3" w:rsidRPr="00FD76C3" w:rsidRDefault="00FD76C3" w:rsidP="005B7506">
      <w:pPr>
        <w:pStyle w:val="zadopise"/>
        <w:keepNext/>
        <w:numPr>
          <w:ilvl w:val="3"/>
          <w:numId w:val="11"/>
        </w:numPr>
        <w:ind w:left="1276" w:hanging="916"/>
        <w:outlineLvl w:val="3"/>
        <w:rPr>
          <w:b/>
        </w:rPr>
      </w:pPr>
      <w:bookmarkStart w:id="15" w:name="_Toc40882809"/>
      <w:r w:rsidRPr="00FD76C3">
        <w:rPr>
          <w:b/>
        </w:rPr>
        <w:t>Evidencije u Glavnoj knjizi proračunskog korisnika – korisnika projekta</w:t>
      </w:r>
      <w:bookmarkEnd w:id="15"/>
    </w:p>
    <w:p w14:paraId="51EAB018" w14:textId="77777777" w:rsidR="00FD76C3" w:rsidRDefault="00FD76C3" w:rsidP="00FD76C3">
      <w:pPr>
        <w:pStyle w:val="zadopise"/>
        <w:keepNext/>
      </w:pPr>
    </w:p>
    <w:p w14:paraId="66FEF743" w14:textId="153282FA" w:rsidR="00BC6C70" w:rsidRDefault="00BC6C70" w:rsidP="00FD76C3">
      <w:pPr>
        <w:pStyle w:val="zadopise"/>
        <w:keepNext/>
      </w:pPr>
      <w:r>
        <w:t xml:space="preserve">Kao što je već navedeno, u okviru ovoga </w:t>
      </w:r>
      <w:proofErr w:type="spellStart"/>
      <w:r>
        <w:t>podizvora</w:t>
      </w:r>
      <w:proofErr w:type="spellEnd"/>
      <w:r>
        <w:t xml:space="preserve"> planiraju se rashodi za provedbu projekata koji se financiraju iz zajmova međunarodnih financijskih institucija metodom refundacije. </w:t>
      </w:r>
      <w:r w:rsidR="00E173CA">
        <w:t>To</w:t>
      </w:r>
      <w:r>
        <w:t xml:space="preserve"> znači da Republika Hrvatska, kao nominalni primatelj zajma, mora podmiriti rashode projekta, odnosno određeni dio tih rashoda, prije nego sredstva zajma budu uplaćena na račun državnog proračuna. Stoga u okviru ovog </w:t>
      </w:r>
      <w:proofErr w:type="spellStart"/>
      <w:r>
        <w:t>podizvora</w:t>
      </w:r>
      <w:proofErr w:type="spellEnd"/>
      <w:r>
        <w:t xml:space="preserve"> državni proračun osigurava sredstva iz kojih se plaćaju fakture za odrađene radove i usluge te kupljene proizvode za potrebe provedbe projekta.</w:t>
      </w:r>
    </w:p>
    <w:p w14:paraId="3C4033F4" w14:textId="77777777" w:rsidR="00BC6C70" w:rsidRDefault="00BC6C70" w:rsidP="00BC6C70">
      <w:pPr>
        <w:pStyle w:val="zadopise"/>
      </w:pPr>
    </w:p>
    <w:p w14:paraId="482DBE43" w14:textId="1CEFAF02" w:rsidR="00F3702C" w:rsidRDefault="00707494" w:rsidP="00BC6C70">
      <w:pPr>
        <w:pStyle w:val="zadopise"/>
      </w:pPr>
      <w:r>
        <w:t>K</w:t>
      </w:r>
      <w:r w:rsidR="00FD76C3">
        <w:t xml:space="preserve">orisnik projekta koji se financira iz zajma međunarodne financijske institucije </w:t>
      </w:r>
      <w:r>
        <w:t>na temelju očekivane realizacije</w:t>
      </w:r>
      <w:r w:rsidR="00FD76C3">
        <w:t xml:space="preserve"> projekta </w:t>
      </w:r>
      <w:r>
        <w:t xml:space="preserve">planira rashode </w:t>
      </w:r>
      <w:r w:rsidR="00FD76C3">
        <w:t xml:space="preserve">u svom financijskom planu u sklopu </w:t>
      </w:r>
      <w:proofErr w:type="spellStart"/>
      <w:r w:rsidR="00BC6C70">
        <w:t>pod</w:t>
      </w:r>
      <w:r w:rsidR="00FD76C3">
        <w:t>izvora</w:t>
      </w:r>
      <w:proofErr w:type="spellEnd"/>
      <w:r w:rsidR="00BC6C70">
        <w:t xml:space="preserve"> </w:t>
      </w:r>
      <w:r w:rsidR="00BC6C70" w:rsidRPr="00763544">
        <w:rPr>
          <w:i/>
        </w:rPr>
        <w:t>82</w:t>
      </w:r>
      <w:r w:rsidR="00732026">
        <w:t>.</w:t>
      </w:r>
      <w:r w:rsidR="009B03B2">
        <w:t xml:space="preserve"> </w:t>
      </w:r>
      <w:r w:rsidR="00F3702C">
        <w:t>Po nastanku rashoda projekta korisnik evidentira rashode u svojoj Glavnoj knjizi.</w:t>
      </w:r>
    </w:p>
    <w:p w14:paraId="6C0CAAE2" w14:textId="1DE8F891" w:rsidR="00FD76C3" w:rsidRDefault="00707494" w:rsidP="00BC6C70">
      <w:pPr>
        <w:pStyle w:val="zadopise"/>
      </w:pPr>
      <w:r>
        <w:t>U trenutku plaćanja fakture za nastale rashode</w:t>
      </w:r>
      <w:r w:rsidR="00F3702C">
        <w:t>, korisnik projekta u svojoj Glavnoj knjizi iskazuje zatvaranje obveze prema dobavljačima i prihod iz proračuna. Korisnik projekta koji se financira iz zajma međunarodne financijske institucije u svojoj Glavnoj knjizi ne iskazuje primitke od zaduživanja.</w:t>
      </w:r>
    </w:p>
    <w:p w14:paraId="70651ABF" w14:textId="77777777" w:rsidR="00BC6C70" w:rsidRDefault="00BC6C70" w:rsidP="00BC6C70">
      <w:pPr>
        <w:pStyle w:val="zadopise"/>
      </w:pPr>
    </w:p>
    <w:p w14:paraId="33725705" w14:textId="3219B43F" w:rsidR="00FD76C3" w:rsidRDefault="00FD76C3" w:rsidP="00FD76C3">
      <w:pPr>
        <w:pStyle w:val="zadopise"/>
      </w:pPr>
      <w:r>
        <w:t xml:space="preserve">Slijedom navedenoga, u financijskom izvještaju proračunskog korisnika (Izvještaju o prihodima i rashodima, primicima i izdacima) također se </w:t>
      </w:r>
      <w:r w:rsidR="00F3702C">
        <w:t xml:space="preserve">ne </w:t>
      </w:r>
      <w:r>
        <w:t>iskazuju primici od zaduživanja</w:t>
      </w:r>
      <w:r w:rsidR="00F3702C">
        <w:t xml:space="preserve">, </w:t>
      </w:r>
      <w:r w:rsidR="00B84FDE">
        <w:t>već</w:t>
      </w:r>
      <w:r w:rsidR="00F3702C">
        <w:t xml:space="preserve"> se iskazuju</w:t>
      </w:r>
      <w:r>
        <w:t xml:space="preserve"> rashodi/izdaci projekta</w:t>
      </w:r>
      <w:r w:rsidR="00F3702C">
        <w:t xml:space="preserve"> </w:t>
      </w:r>
      <w:r w:rsidR="00B84FDE">
        <w:t>i</w:t>
      </w:r>
      <w:r w:rsidR="00F3702C">
        <w:t xml:space="preserve"> prihodi iz državnog proračuna za financiranje</w:t>
      </w:r>
      <w:r w:rsidR="00F3702C" w:rsidRPr="00F3702C">
        <w:t xml:space="preserve"> redovne djelatnosti proračunskih korisnika</w:t>
      </w:r>
      <w:r w:rsidR="00665CA4" w:rsidRPr="00665CA4">
        <w:t xml:space="preserve"> na odgovarajućem osnovnom računu u okviru podskupine </w:t>
      </w:r>
      <w:r w:rsidR="00665CA4" w:rsidRPr="00732026">
        <w:rPr>
          <w:i/>
        </w:rPr>
        <w:t>671 Prihodi iz nadležnog proračuna za financiranje redovne djelatnosti proračunskih korisnika</w:t>
      </w:r>
      <w:r>
        <w:t>.</w:t>
      </w:r>
    </w:p>
    <w:p w14:paraId="44812D8A" w14:textId="77777777" w:rsidR="00FD76C3" w:rsidRDefault="00FD76C3" w:rsidP="00FD76C3">
      <w:pPr>
        <w:pStyle w:val="zadopise"/>
      </w:pPr>
    </w:p>
    <w:p w14:paraId="2ABCCEFE" w14:textId="33C01385" w:rsidR="00FD76C3" w:rsidRDefault="00FD76C3" w:rsidP="00FD76C3">
      <w:pPr>
        <w:pStyle w:val="zadopise"/>
        <w:keepNext/>
      </w:pPr>
      <w:r>
        <w:lastRenderedPageBreak/>
        <w:t xml:space="preserve">U nastavku se daje primjer evidencija </w:t>
      </w:r>
      <w:r w:rsidR="00400066">
        <w:t>kod proračunskog korisnika državnog proračuna koji provodi projekt koji se financira iz zajma planiranog</w:t>
      </w:r>
      <w:r>
        <w:t xml:space="preserve"> u okviru </w:t>
      </w:r>
      <w:proofErr w:type="spellStart"/>
      <w:r w:rsidR="00AA26D2">
        <w:t>pod</w:t>
      </w:r>
      <w:r>
        <w:t>izvora</w:t>
      </w:r>
      <w:proofErr w:type="spellEnd"/>
      <w:r>
        <w:t xml:space="preserve"> </w:t>
      </w:r>
      <w:r w:rsidRPr="007B6AA7">
        <w:rPr>
          <w:i/>
        </w:rPr>
        <w:t>8</w:t>
      </w:r>
      <w:r w:rsidR="00F3702C">
        <w:rPr>
          <w:i/>
        </w:rPr>
        <w:t>2</w:t>
      </w:r>
      <w:r w:rsidRPr="007B6AA7">
        <w:rPr>
          <w:i/>
        </w:rPr>
        <w:t xml:space="preserve"> Namjenski primici od zaduživanja</w:t>
      </w:r>
      <w:r w:rsidR="00F3702C">
        <w:rPr>
          <w:i/>
        </w:rPr>
        <w:t xml:space="preserve"> kroz refundacije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52"/>
        <w:gridCol w:w="893"/>
        <w:gridCol w:w="936"/>
        <w:gridCol w:w="1278"/>
      </w:tblGrid>
      <w:tr w:rsidR="00FD76C3" w:rsidRPr="00A93210" w14:paraId="65CE5DFA" w14:textId="77777777" w:rsidTr="00763544">
        <w:trPr>
          <w:trHeight w:hRule="exact" w:val="34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DA12B" w14:textId="77777777" w:rsidR="00FD76C3" w:rsidRPr="00A93210" w:rsidRDefault="00FD76C3" w:rsidP="00A07B6D">
            <w:pPr>
              <w:keepNext/>
              <w:tabs>
                <w:tab w:val="left" w:pos="567"/>
              </w:tabs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 br.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FCBF9F" w14:textId="77777777" w:rsidR="00FD76C3" w:rsidRPr="00A93210" w:rsidRDefault="00FD76C3" w:rsidP="00A07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FF7CD" w14:textId="77777777" w:rsidR="00FD76C3" w:rsidRPr="00A93210" w:rsidRDefault="00FD76C3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2406D" w14:textId="77777777" w:rsidR="00FD76C3" w:rsidRPr="00A93210" w:rsidRDefault="00FD76C3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Račun</w:t>
            </w:r>
          </w:p>
        </w:tc>
      </w:tr>
      <w:tr w:rsidR="00FD76C3" w:rsidRPr="00A93210" w14:paraId="76D40631" w14:textId="77777777" w:rsidTr="00763544">
        <w:trPr>
          <w:trHeight w:hRule="exact" w:val="34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82B7E" w14:textId="77777777" w:rsidR="00FD76C3" w:rsidRPr="00A93210" w:rsidRDefault="00FD76C3" w:rsidP="00A07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95B4A" w14:textId="77777777" w:rsidR="00FD76C3" w:rsidRPr="00A93210" w:rsidRDefault="00FD76C3" w:rsidP="00A07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FE98B" w14:textId="77777777" w:rsidR="00FD76C3" w:rsidRPr="00A93210" w:rsidRDefault="00FD76C3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4F5428" w14:textId="77777777" w:rsidR="00FD76C3" w:rsidRPr="00A93210" w:rsidRDefault="00FD76C3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Duguje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C7A7F" w14:textId="77777777" w:rsidR="00FD76C3" w:rsidRPr="00A93210" w:rsidRDefault="00FD76C3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Potražuje</w:t>
            </w:r>
          </w:p>
        </w:tc>
      </w:tr>
      <w:tr w:rsidR="00FD76C3" w:rsidRPr="00A93210" w14:paraId="2664FB81" w14:textId="77777777" w:rsidTr="00763544">
        <w:trPr>
          <w:trHeight w:val="15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E7E83" w14:textId="77777777" w:rsidR="00FD76C3" w:rsidRPr="00A93210" w:rsidRDefault="00FD76C3" w:rsidP="00A07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8416E" w14:textId="6DB72E90" w:rsidR="00FD76C3" w:rsidRPr="00A93210" w:rsidRDefault="00734134" w:rsidP="00A07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Primljen je račun dobavljača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2EAA3" w14:textId="621DF61E" w:rsidR="00FD76C3" w:rsidRPr="00A93210" w:rsidRDefault="00FD76C3" w:rsidP="00734134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73413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F0223E" w14:textId="6BE6B0F4" w:rsidR="00FD76C3" w:rsidRPr="00A93210" w:rsidRDefault="00734134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E72C0" w14:textId="0C1F7DED" w:rsidR="00FD76C3" w:rsidRPr="00A93210" w:rsidRDefault="00734134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23, 24</w:t>
            </w:r>
          </w:p>
        </w:tc>
      </w:tr>
      <w:tr w:rsidR="00FD76C3" w:rsidRPr="00A93210" w14:paraId="6FB18AF3" w14:textId="77777777" w:rsidTr="00763544">
        <w:trPr>
          <w:trHeight w:val="15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114FD8" w14:textId="17304D1E" w:rsidR="00FD76C3" w:rsidRPr="00A93210" w:rsidRDefault="00734134" w:rsidP="00A07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D76C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30CBFD" w14:textId="2E39B9ED" w:rsidR="00FD76C3" w:rsidRDefault="00734134" w:rsidP="00A07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Plaćanje obveze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0E7D6F" w14:textId="330B2395" w:rsidR="00FD76C3" w:rsidRPr="00A93210" w:rsidRDefault="00734134" w:rsidP="00A07B6D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EBA9A" w14:textId="4D60E0FF" w:rsidR="00FD76C3" w:rsidRDefault="00734134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799763" w14:textId="78677F62" w:rsidR="00FD76C3" w:rsidRDefault="00734134" w:rsidP="00A07B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6711, 6712</w:t>
            </w:r>
          </w:p>
        </w:tc>
      </w:tr>
    </w:tbl>
    <w:p w14:paraId="48757C26" w14:textId="77777777" w:rsidR="00FD76C3" w:rsidRDefault="00FD76C3" w:rsidP="00FD76C3">
      <w:pPr>
        <w:pStyle w:val="zadopise"/>
      </w:pPr>
    </w:p>
    <w:p w14:paraId="28A19DEB" w14:textId="525B5416" w:rsidR="00447D24" w:rsidRDefault="00E0476B" w:rsidP="00FD76C3">
      <w:pPr>
        <w:pStyle w:val="zadopise"/>
      </w:pPr>
      <w:r>
        <w:t>Kao što je već navedeno, i</w:t>
      </w:r>
      <w:r w:rsidR="00732026" w:rsidRPr="00732026">
        <w:t xml:space="preserve">zuzev financiranja provedbe projekata iz sredstava zajma, ministarstvo ili drugi proračunski korisnik državnog proračuna može, ako je tako predviđeno ugovorom, iz sredstava zajma davati </w:t>
      </w:r>
      <w:proofErr w:type="spellStart"/>
      <w:r w:rsidR="00732026" w:rsidRPr="00732026">
        <w:t>podzajmove</w:t>
      </w:r>
      <w:proofErr w:type="spellEnd"/>
      <w:r w:rsidR="00732026" w:rsidRPr="00732026">
        <w:t xml:space="preserve"> drugim subjektima u sustavu proračuna (na primjer izvanproračunskim korisnicima državnog proračuna). </w:t>
      </w:r>
    </w:p>
    <w:p w14:paraId="76E1922D" w14:textId="77777777" w:rsidR="00447D24" w:rsidRDefault="00447D24" w:rsidP="00FD76C3">
      <w:pPr>
        <w:pStyle w:val="zadopise"/>
      </w:pPr>
    </w:p>
    <w:p w14:paraId="654B84FA" w14:textId="5F363FF8" w:rsidR="00732026" w:rsidRDefault="00352C5B" w:rsidP="00FD76C3">
      <w:pPr>
        <w:pStyle w:val="zadopise"/>
      </w:pPr>
      <w:r w:rsidRPr="00400066">
        <w:t>U skladu s Pravilnikom o proračunskom ra</w:t>
      </w:r>
      <w:r w:rsidR="00447D24" w:rsidRPr="00400066">
        <w:t>čunovodstvu i Računskom planu</w:t>
      </w:r>
      <w:r w:rsidRPr="00400066">
        <w:t>, u Glavnoj knjizi se dani</w:t>
      </w:r>
      <w:r w:rsidR="00B85275" w:rsidRPr="00400066">
        <w:t xml:space="preserve"> </w:t>
      </w:r>
      <w:r w:rsidR="00447D24" w:rsidRPr="00400066">
        <w:t xml:space="preserve">dugoročni zajmovi i kratkoročni koji prelaze u sljedeću godinu iskazuju </w:t>
      </w:r>
      <w:r w:rsidR="00B85275" w:rsidRPr="00400066">
        <w:t xml:space="preserve">zaduživanjem odgovarajućeg računa u skupini </w:t>
      </w:r>
      <w:r w:rsidR="00B85275" w:rsidRPr="00400066">
        <w:rPr>
          <w:i/>
        </w:rPr>
        <w:t>51 Izdaci za dane zajmove i depozite</w:t>
      </w:r>
      <w:r w:rsidR="00B85275" w:rsidRPr="00400066">
        <w:t xml:space="preserve"> i odobravanjem računa novčanih sredstava</w:t>
      </w:r>
      <w:r w:rsidR="00400066">
        <w:t xml:space="preserve">. Međutim, u slučaju da </w:t>
      </w:r>
      <w:proofErr w:type="spellStart"/>
      <w:r w:rsidR="00400066">
        <w:t>podzajam</w:t>
      </w:r>
      <w:proofErr w:type="spellEnd"/>
      <w:r w:rsidR="00400066">
        <w:t xml:space="preserve"> iz sredstava zajma od međunarodne financijske institucije daje proračunski korisnik koji posluje</w:t>
      </w:r>
      <w:r w:rsidR="00447D24" w:rsidRPr="00400066">
        <w:t xml:space="preserve"> preko jedinstvenog računa proračuna</w:t>
      </w:r>
      <w:r w:rsidR="00400066">
        <w:t xml:space="preserve">, on neće iskazati odljev s računa novčanih sredstava, nego će </w:t>
      </w:r>
      <w:r w:rsidR="002F2DF9">
        <w:t>odobriti</w:t>
      </w:r>
      <w:r w:rsidR="00447D24" w:rsidRPr="00400066">
        <w:t xml:space="preserve"> račun prihoda iz nadležnog proračuna za financiranje redovne djelatnosti korisnika. I</w:t>
      </w:r>
      <w:r w:rsidR="00B85275" w:rsidRPr="00400066">
        <w:t>stovremeno</w:t>
      </w:r>
      <w:r w:rsidR="00447D24" w:rsidRPr="00400066">
        <w:t xml:space="preserve"> se</w:t>
      </w:r>
      <w:r w:rsidR="00B85275" w:rsidRPr="00400066">
        <w:t xml:space="preserve"> zadužuje odgovarajući račun zajmova u skupini </w:t>
      </w:r>
      <w:r w:rsidR="00B85275" w:rsidRPr="00441E1E">
        <w:rPr>
          <w:i/>
        </w:rPr>
        <w:t>13</w:t>
      </w:r>
      <w:r w:rsidR="00B85275" w:rsidRPr="00400066">
        <w:t xml:space="preserve"> i odobrava odgovarajući račun vlastitih izvora u razredu </w:t>
      </w:r>
      <w:r w:rsidR="00B85275" w:rsidRPr="00441E1E">
        <w:rPr>
          <w:i/>
        </w:rPr>
        <w:t>9</w:t>
      </w:r>
      <w:r w:rsidR="00B85275" w:rsidRPr="00400066">
        <w:t>.</w:t>
      </w:r>
    </w:p>
    <w:p w14:paraId="6634B8DD" w14:textId="77777777" w:rsidR="00400066" w:rsidRDefault="00400066" w:rsidP="00FD76C3">
      <w:pPr>
        <w:pStyle w:val="zadopise"/>
      </w:pPr>
    </w:p>
    <w:p w14:paraId="5F531C34" w14:textId="11CD8F17" w:rsidR="00400066" w:rsidRDefault="00400066" w:rsidP="00400066">
      <w:pPr>
        <w:pStyle w:val="zadopise"/>
        <w:keepNext/>
      </w:pPr>
      <w:r>
        <w:t>U nastavku se daje primjer evidencija kod proračunskog korisnika državnog proračuna</w:t>
      </w:r>
      <w:r w:rsidR="00190952">
        <w:t xml:space="preserve"> (koji posluje preko jedinstvenog računa proračuna)</w:t>
      </w:r>
      <w:r>
        <w:t xml:space="preserve"> </w:t>
      </w:r>
      <w:r w:rsidR="00190952">
        <w:t>kada</w:t>
      </w:r>
      <w:r>
        <w:t xml:space="preserve"> iz sredstava zajma od međunarodne financijske institucije planiranog u okviru izvora </w:t>
      </w:r>
      <w:r w:rsidRPr="007B6AA7">
        <w:rPr>
          <w:i/>
        </w:rPr>
        <w:t>8</w:t>
      </w:r>
      <w:r>
        <w:rPr>
          <w:i/>
        </w:rPr>
        <w:t>2</w:t>
      </w:r>
      <w:r w:rsidRPr="007B6AA7">
        <w:rPr>
          <w:i/>
        </w:rPr>
        <w:t xml:space="preserve"> Namjenski primici od zaduživanja</w:t>
      </w:r>
      <w:r>
        <w:rPr>
          <w:i/>
        </w:rPr>
        <w:t xml:space="preserve"> kroz refundacije</w:t>
      </w:r>
      <w:r>
        <w:t xml:space="preserve"> daje </w:t>
      </w:r>
      <w:proofErr w:type="spellStart"/>
      <w:r>
        <w:t>podzajam</w:t>
      </w:r>
      <w:proofErr w:type="spellEnd"/>
      <w:r>
        <w:t xml:space="preserve"> izvanproračunskom korisniku državnog proračuna: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233"/>
        <w:gridCol w:w="1168"/>
        <w:gridCol w:w="936"/>
        <w:gridCol w:w="1119"/>
      </w:tblGrid>
      <w:tr w:rsidR="00400066" w:rsidRPr="00A93210" w14:paraId="3DB1A5BA" w14:textId="77777777" w:rsidTr="00861F11">
        <w:trPr>
          <w:trHeight w:hRule="exact" w:val="340"/>
        </w:trPr>
        <w:tc>
          <w:tcPr>
            <w:tcW w:w="606" w:type="dxa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6E643" w14:textId="77777777" w:rsidR="00400066" w:rsidRPr="00A93210" w:rsidRDefault="00400066" w:rsidP="00F57A4B">
            <w:pPr>
              <w:keepNext/>
              <w:tabs>
                <w:tab w:val="left" w:pos="567"/>
              </w:tabs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C7DB8" w14:textId="77777777" w:rsidR="00400066" w:rsidRPr="00A93210" w:rsidRDefault="00400066" w:rsidP="00F57A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FCC78" w14:textId="77777777" w:rsidR="00400066" w:rsidRPr="00A93210" w:rsidRDefault="00400066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3DC27" w14:textId="77777777" w:rsidR="00400066" w:rsidRPr="00A93210" w:rsidRDefault="00400066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Račun</w:t>
            </w:r>
          </w:p>
        </w:tc>
      </w:tr>
      <w:tr w:rsidR="00400066" w:rsidRPr="00A93210" w14:paraId="36F62618" w14:textId="77777777" w:rsidTr="00861F11">
        <w:trPr>
          <w:trHeight w:hRule="exact" w:val="340"/>
        </w:trPr>
        <w:tc>
          <w:tcPr>
            <w:tcW w:w="606" w:type="dxa"/>
            <w:vMerge/>
            <w:vAlign w:val="center"/>
            <w:hideMark/>
          </w:tcPr>
          <w:p w14:paraId="632F9713" w14:textId="77777777" w:rsidR="00400066" w:rsidRPr="00A93210" w:rsidRDefault="00400066" w:rsidP="00F57A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C3B12F" w14:textId="77777777" w:rsidR="00400066" w:rsidRPr="00A93210" w:rsidRDefault="00400066" w:rsidP="00F57A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712685" w14:textId="77777777" w:rsidR="00400066" w:rsidRPr="00A93210" w:rsidRDefault="00400066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FC357" w14:textId="77777777" w:rsidR="00400066" w:rsidRPr="00A93210" w:rsidRDefault="00400066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Duguje</w:t>
            </w: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5A05E" w14:textId="77777777" w:rsidR="00400066" w:rsidRPr="00A93210" w:rsidRDefault="00400066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Potražuje</w:t>
            </w:r>
          </w:p>
        </w:tc>
      </w:tr>
      <w:tr w:rsidR="00F069F1" w:rsidRPr="00A93210" w14:paraId="46FF1B55" w14:textId="77777777" w:rsidTr="00861F11">
        <w:trPr>
          <w:trHeight w:val="156"/>
        </w:trPr>
        <w:tc>
          <w:tcPr>
            <w:tcW w:w="60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02895" w14:textId="77777777" w:rsidR="00F069F1" w:rsidRPr="00A93210" w:rsidRDefault="00F069F1" w:rsidP="00F57A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1A902" w14:textId="4AF01A71" w:rsidR="00F069F1" w:rsidRPr="00A93210" w:rsidRDefault="00F069F1" w:rsidP="00F069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Isplata sredstava zajma iz državnog proračuna izvanproračunskom korisniku i iskazivanje potraživanja za glavnicu </w:t>
            </w:r>
          </w:p>
        </w:tc>
        <w:tc>
          <w:tcPr>
            <w:tcW w:w="0" w:type="auto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D7323" w14:textId="3CE0E48B" w:rsidR="00F069F1" w:rsidRPr="00A93210" w:rsidRDefault="00F069F1" w:rsidP="00F57A4B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.000.000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6F582" w14:textId="7C7C303E" w:rsidR="00F069F1" w:rsidRPr="00A93210" w:rsidRDefault="00F069F1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51762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F5565E" w14:textId="7CE4B21C" w:rsidR="00F069F1" w:rsidRPr="00A93210" w:rsidRDefault="00F069F1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67141</w:t>
            </w:r>
          </w:p>
        </w:tc>
      </w:tr>
      <w:tr w:rsidR="00F069F1" w:rsidRPr="00A93210" w14:paraId="0B81CF8B" w14:textId="77777777" w:rsidTr="00861F11">
        <w:trPr>
          <w:trHeight w:val="156"/>
        </w:trPr>
        <w:tc>
          <w:tcPr>
            <w:tcW w:w="60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DA557" w14:textId="77777777" w:rsidR="00F069F1" w:rsidRPr="00A93210" w:rsidRDefault="00F069F1" w:rsidP="00F57A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CFC28" w14:textId="77777777" w:rsidR="00F069F1" w:rsidRDefault="00F069F1" w:rsidP="00F57A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22669E" w14:textId="77777777" w:rsidR="00F069F1" w:rsidRPr="00A93210" w:rsidRDefault="00F069F1" w:rsidP="00F57A4B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79E4D" w14:textId="5F16547B" w:rsidR="00F069F1" w:rsidRDefault="00F069F1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212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13762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10E730" w14:textId="0B34938F" w:rsidR="00F069F1" w:rsidRDefault="00F069F1" w:rsidP="00F57A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91122</w:t>
            </w:r>
          </w:p>
        </w:tc>
      </w:tr>
    </w:tbl>
    <w:p w14:paraId="0FA4DE70" w14:textId="77777777" w:rsidR="00400066" w:rsidRDefault="00400066" w:rsidP="00FD76C3">
      <w:pPr>
        <w:pStyle w:val="zadopise"/>
      </w:pPr>
    </w:p>
    <w:p w14:paraId="76830C14" w14:textId="33672EBE" w:rsidR="00422A2A" w:rsidRDefault="003A68B7" w:rsidP="00FD76C3">
      <w:pPr>
        <w:pStyle w:val="zadopise"/>
      </w:pPr>
      <w:r>
        <w:t xml:space="preserve">Izvanproračunski korisnik primitak sredstava </w:t>
      </w:r>
      <w:proofErr w:type="spellStart"/>
      <w:r>
        <w:t>podzajma</w:t>
      </w:r>
      <w:proofErr w:type="spellEnd"/>
      <w:r>
        <w:t xml:space="preserve"> na svoj račun </w:t>
      </w:r>
      <w:r w:rsidR="00624D52">
        <w:t xml:space="preserve">evidentira </w:t>
      </w:r>
      <w:r w:rsidRPr="003A68B7">
        <w:t>odobrenje</w:t>
      </w:r>
      <w:r>
        <w:t>m</w:t>
      </w:r>
      <w:r w:rsidRPr="003A68B7">
        <w:t xml:space="preserve"> računa primitaka od zaduživanja u skupini </w:t>
      </w:r>
      <w:r w:rsidRPr="003A68B7">
        <w:rPr>
          <w:i/>
        </w:rPr>
        <w:t>84</w:t>
      </w:r>
      <w:r w:rsidRPr="003A68B7">
        <w:t xml:space="preserve"> i zaduženjem novčanih sredstava te </w:t>
      </w:r>
      <w:r>
        <w:t>odobrenjem</w:t>
      </w:r>
      <w:r w:rsidRPr="003A68B7">
        <w:t xml:space="preserve"> račun</w:t>
      </w:r>
      <w:r>
        <w:t>a</w:t>
      </w:r>
      <w:r w:rsidRPr="003A68B7">
        <w:t xml:space="preserve"> obveza za zajmove u skupini </w:t>
      </w:r>
      <w:r w:rsidRPr="00AA2EAC">
        <w:rPr>
          <w:i/>
        </w:rPr>
        <w:t>26</w:t>
      </w:r>
      <w:r w:rsidRPr="003A68B7">
        <w:t xml:space="preserve"> i zaduž</w:t>
      </w:r>
      <w:r>
        <w:t>enjem</w:t>
      </w:r>
      <w:r w:rsidRPr="003A68B7">
        <w:t xml:space="preserve"> račun</w:t>
      </w:r>
      <w:r>
        <w:t>a</w:t>
      </w:r>
      <w:r w:rsidRPr="003A68B7">
        <w:t xml:space="preserve"> ispravka izvora vlasništva u skupini </w:t>
      </w:r>
      <w:r w:rsidRPr="00AA2EAC">
        <w:rPr>
          <w:i/>
        </w:rPr>
        <w:t>91</w:t>
      </w:r>
      <w:r w:rsidRPr="003A68B7">
        <w:t>.</w:t>
      </w:r>
      <w:r w:rsidR="00422A2A">
        <w:t xml:space="preserve"> </w:t>
      </w:r>
      <w:r w:rsidR="00422A2A" w:rsidRPr="00D35FA5">
        <w:t>Otplata glavnice iskazuje se</w:t>
      </w:r>
      <w:r w:rsidR="00422A2A">
        <w:t xml:space="preserve"> </w:t>
      </w:r>
      <w:r w:rsidR="00D33DBC">
        <w:t xml:space="preserve">suprotnim evidencijama na računima obveza za zajmove u skupini 26 i ispravka izvora vlasništva u skupini 91 te zaduženjem računa izdataka za otplatu glavnice u skupni </w:t>
      </w:r>
      <w:r w:rsidR="00D33DBC" w:rsidRPr="00D33DBC">
        <w:rPr>
          <w:i/>
          <w:iCs/>
        </w:rPr>
        <w:t>54 Izdaci za otplatu glavnice primljenih kredita i zajmova</w:t>
      </w:r>
      <w:r w:rsidR="00D33DBC">
        <w:t xml:space="preserve"> i odobrenjem računa </w:t>
      </w:r>
      <w:r w:rsidR="00660CEA">
        <w:t>novčanih</w:t>
      </w:r>
      <w:r w:rsidR="00D33DBC">
        <w:t xml:space="preserve"> sredstava.</w:t>
      </w:r>
    </w:p>
    <w:p w14:paraId="68B77997" w14:textId="77777777" w:rsidR="00D33DBC" w:rsidRDefault="00D33DBC" w:rsidP="00FD76C3">
      <w:pPr>
        <w:pStyle w:val="zadopise"/>
      </w:pPr>
    </w:p>
    <w:p w14:paraId="0D539E78" w14:textId="6899AE38" w:rsidR="00624D52" w:rsidRDefault="00422A2A" w:rsidP="00FD76C3">
      <w:pPr>
        <w:pStyle w:val="zadopise"/>
      </w:pPr>
      <w:r>
        <w:t>Izuzev otplate glavnice,</w:t>
      </w:r>
      <w:r w:rsidR="00E0476B">
        <w:t xml:space="preserve"> izvanproračunski</w:t>
      </w:r>
      <w:r>
        <w:t xml:space="preserve"> korisnik je dužan evidentirati i rashode za kamate na primljeni zajam.</w:t>
      </w:r>
      <w:r w:rsidR="003036F6">
        <w:t xml:space="preserve"> U nastavku se daje primjer knjigovodstvenih evidencija kod izvanproračunskog korisnika državnog proračuna koji je primio </w:t>
      </w:r>
      <w:proofErr w:type="spellStart"/>
      <w:r w:rsidR="003036F6">
        <w:t>podzajam</w:t>
      </w:r>
      <w:proofErr w:type="spellEnd"/>
      <w:r w:rsidR="003036F6">
        <w:t xml:space="preserve"> iz sredstava zajma primljenog od međunarodne financijske institucije, od nadležnog ministarstva. </w:t>
      </w:r>
    </w:p>
    <w:p w14:paraId="583C0673" w14:textId="77777777" w:rsidR="003A68B7" w:rsidRDefault="003A68B7" w:rsidP="00FD76C3">
      <w:pPr>
        <w:pStyle w:val="zadopi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964"/>
        <w:gridCol w:w="1168"/>
        <w:gridCol w:w="936"/>
        <w:gridCol w:w="1388"/>
      </w:tblGrid>
      <w:tr w:rsidR="00AA2EAC" w:rsidRPr="00A93210" w14:paraId="1897F542" w14:textId="77777777" w:rsidTr="0032630A">
        <w:trPr>
          <w:trHeight w:hRule="exact" w:val="340"/>
        </w:trPr>
        <w:tc>
          <w:tcPr>
            <w:tcW w:w="606" w:type="dxa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BFD0B" w14:textId="77777777" w:rsidR="00AA2EAC" w:rsidRPr="00A93210" w:rsidRDefault="00AA2EAC" w:rsidP="00DC314C">
            <w:pPr>
              <w:keepNext/>
              <w:tabs>
                <w:tab w:val="left" w:pos="567"/>
              </w:tabs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Red. br.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74A58" w14:textId="77777777" w:rsidR="00AA2EAC" w:rsidRPr="00A93210" w:rsidRDefault="00AA2EAC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8BC00D" w14:textId="77777777" w:rsidR="00AA2EAC" w:rsidRPr="00A93210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38166" w14:textId="77777777" w:rsidR="00AA2EAC" w:rsidRPr="00A93210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Račun</w:t>
            </w:r>
          </w:p>
        </w:tc>
      </w:tr>
      <w:tr w:rsidR="00AA2EAC" w:rsidRPr="00A93210" w14:paraId="3B0B7FAD" w14:textId="77777777" w:rsidTr="0032630A">
        <w:trPr>
          <w:trHeight w:hRule="exact" w:val="340"/>
        </w:trPr>
        <w:tc>
          <w:tcPr>
            <w:tcW w:w="606" w:type="dxa"/>
            <w:vMerge/>
            <w:vAlign w:val="center"/>
            <w:hideMark/>
          </w:tcPr>
          <w:p w14:paraId="18A8983B" w14:textId="77777777" w:rsidR="00AA2EAC" w:rsidRPr="00A93210" w:rsidRDefault="00AA2EAC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4CC34" w14:textId="77777777" w:rsidR="00AA2EAC" w:rsidRPr="00A93210" w:rsidRDefault="00AA2EAC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7AA647" w14:textId="77777777" w:rsidR="00AA2EAC" w:rsidRPr="00A93210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9E543" w14:textId="77777777" w:rsidR="00AA2EAC" w:rsidRPr="00A93210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Duguje</w:t>
            </w: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CEB4C" w14:textId="77777777" w:rsidR="00AA2EAC" w:rsidRPr="00A93210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Potražuje</w:t>
            </w:r>
          </w:p>
        </w:tc>
      </w:tr>
      <w:tr w:rsidR="00AA2EAC" w:rsidRPr="00A93210" w14:paraId="2BB46409" w14:textId="77777777" w:rsidTr="0032630A">
        <w:trPr>
          <w:trHeight w:val="156"/>
        </w:trPr>
        <w:tc>
          <w:tcPr>
            <w:tcW w:w="60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DEB1C" w14:textId="77777777" w:rsidR="00AA2EAC" w:rsidRPr="00A93210" w:rsidRDefault="00AA2EAC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17427" w14:textId="2FF62B46" w:rsidR="00AA2EAC" w:rsidRPr="00A93210" w:rsidRDefault="00AA2EAC" w:rsidP="0032630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Primitak zaj</w:t>
            </w:r>
            <w:r w:rsidR="003263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od </w:t>
            </w:r>
            <w:r w:rsidR="003036F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nadležnog ministarstva (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proračunskog korisnika državnog proračuna</w:t>
            </w:r>
            <w:r w:rsidR="0031407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iskazivanje obveza za glavnicu </w:t>
            </w:r>
          </w:p>
        </w:tc>
        <w:tc>
          <w:tcPr>
            <w:tcW w:w="0" w:type="auto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1D3FB" w14:textId="77777777" w:rsidR="00AA2EAC" w:rsidRPr="00A93210" w:rsidRDefault="00AA2EAC" w:rsidP="00DC314C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.000.000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E3FE4" w14:textId="77777777" w:rsidR="00AA2EAC" w:rsidRPr="00A93210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11121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5E378" w14:textId="77777777" w:rsidR="00AA2EAC" w:rsidRPr="00A93210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84712xxxxx</w:t>
            </w:r>
          </w:p>
        </w:tc>
      </w:tr>
      <w:tr w:rsidR="00AA2EAC" w:rsidRPr="00A93210" w14:paraId="1B88A58E" w14:textId="77777777" w:rsidTr="00D33DBC">
        <w:trPr>
          <w:trHeight w:val="164"/>
        </w:trPr>
        <w:tc>
          <w:tcPr>
            <w:tcW w:w="60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E8769" w14:textId="77777777" w:rsidR="00AA2EAC" w:rsidRPr="00A93210" w:rsidRDefault="00AA2EAC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4D8E54" w14:textId="77777777" w:rsidR="00AA2EAC" w:rsidRDefault="00AA2EAC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9F56C" w14:textId="77777777" w:rsidR="00AA2EAC" w:rsidRPr="00A93210" w:rsidRDefault="00AA2EAC" w:rsidP="00DC314C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28FFF6" w14:textId="77777777" w:rsidR="00AA2EAC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91211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F03E0A" w14:textId="77777777" w:rsidR="00AA2EAC" w:rsidRDefault="00AA2EAC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26712</w:t>
            </w:r>
          </w:p>
        </w:tc>
      </w:tr>
      <w:tr w:rsidR="0032630A" w:rsidRPr="00A93210" w14:paraId="23152904" w14:textId="77777777" w:rsidTr="0032630A">
        <w:trPr>
          <w:trHeight w:val="164"/>
        </w:trPr>
        <w:tc>
          <w:tcPr>
            <w:tcW w:w="60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B95256" w14:textId="7DD3507F" w:rsidR="0032630A" w:rsidRPr="00A93210" w:rsidRDefault="0032630A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986D87" w14:textId="2EC4145F" w:rsidR="0032630A" w:rsidRDefault="0032630A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Primljena je faktura od dobavljača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AECE66" w14:textId="334E3A48" w:rsidR="0032630A" w:rsidRPr="00A93210" w:rsidRDefault="0032630A" w:rsidP="00DC314C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220.000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110A6" w14:textId="5B1EB7B8" w:rsidR="0032630A" w:rsidRDefault="0032630A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5871DD" w14:textId="447AE656" w:rsidR="0032630A" w:rsidRDefault="0032630A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</w:t>
            </w:r>
          </w:p>
        </w:tc>
      </w:tr>
      <w:tr w:rsidR="0032630A" w:rsidRPr="00A93210" w14:paraId="7D4089E6" w14:textId="77777777" w:rsidTr="00D33DBC">
        <w:trPr>
          <w:trHeight w:val="164"/>
        </w:trPr>
        <w:tc>
          <w:tcPr>
            <w:tcW w:w="9062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898F4" w14:textId="3CA3D469" w:rsidR="0032630A" w:rsidRDefault="0032630A" w:rsidP="0032630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…</w:t>
            </w:r>
          </w:p>
        </w:tc>
      </w:tr>
      <w:tr w:rsidR="00314070" w:rsidRPr="00A93210" w14:paraId="6200AD5B" w14:textId="77777777" w:rsidTr="00422A2A">
        <w:trPr>
          <w:trHeight w:val="297"/>
        </w:trPr>
        <w:tc>
          <w:tcPr>
            <w:tcW w:w="60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4C663A" w14:textId="387EA482" w:rsidR="00314070" w:rsidRPr="00422A2A" w:rsidRDefault="00314070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</w:t>
            </w:r>
            <w:r w:rsidRPr="00422A2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A9C0F" w14:textId="315D64AA" w:rsidR="00314070" w:rsidRPr="00422A2A" w:rsidRDefault="00314070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Otplata anuiteta</w:t>
            </w:r>
          </w:p>
        </w:tc>
        <w:tc>
          <w:tcPr>
            <w:tcW w:w="0" w:type="auto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1AEE2" w14:textId="77777777" w:rsidR="00314070" w:rsidRPr="00422A2A" w:rsidRDefault="00314070" w:rsidP="00DC314C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22A2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1868AA" w14:textId="458A2BE4" w:rsidR="00314070" w:rsidRPr="00422A2A" w:rsidRDefault="00314070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22A2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54712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B9ADC" w14:textId="2C4D377D" w:rsidR="00314070" w:rsidRPr="00422A2A" w:rsidRDefault="00314070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22A2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11121</w:t>
            </w:r>
          </w:p>
        </w:tc>
      </w:tr>
      <w:tr w:rsidR="00314070" w:rsidRPr="00A93210" w14:paraId="3D146C21" w14:textId="77777777" w:rsidTr="00335D55">
        <w:trPr>
          <w:trHeight w:val="208"/>
        </w:trPr>
        <w:tc>
          <w:tcPr>
            <w:tcW w:w="60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266B3" w14:textId="77777777" w:rsidR="00314070" w:rsidRPr="00422A2A" w:rsidRDefault="00314070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AA4C2" w14:textId="77777777" w:rsidR="00314070" w:rsidRPr="00422A2A" w:rsidRDefault="00314070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FAE79" w14:textId="77777777" w:rsidR="00314070" w:rsidRPr="00422A2A" w:rsidRDefault="00314070" w:rsidP="00DC314C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D52581" w14:textId="58801A9F" w:rsidR="00314070" w:rsidRPr="00422A2A" w:rsidRDefault="00314070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22A2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26712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CC5FE" w14:textId="239F2B4F" w:rsidR="00314070" w:rsidRPr="00422A2A" w:rsidRDefault="00314070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22A2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91211</w:t>
            </w:r>
          </w:p>
        </w:tc>
      </w:tr>
      <w:tr w:rsidR="00314070" w:rsidRPr="00A93210" w14:paraId="57B21A14" w14:textId="77777777" w:rsidTr="00422A2A">
        <w:trPr>
          <w:trHeight w:val="208"/>
        </w:trPr>
        <w:tc>
          <w:tcPr>
            <w:tcW w:w="60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ECC16" w14:textId="77777777" w:rsidR="00314070" w:rsidRPr="00422A2A" w:rsidRDefault="00314070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8438E" w14:textId="77777777" w:rsidR="00314070" w:rsidRPr="00422A2A" w:rsidRDefault="00314070" w:rsidP="00DC314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647714" w14:textId="716243FC" w:rsidR="00314070" w:rsidRPr="00422A2A" w:rsidRDefault="00314070" w:rsidP="00DC314C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10.000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9019A" w14:textId="162255E2" w:rsidR="00314070" w:rsidRPr="00422A2A" w:rsidRDefault="00314070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34281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FF216C" w14:textId="6BD5FD50" w:rsidR="00314070" w:rsidRPr="00422A2A" w:rsidRDefault="00314070" w:rsidP="00DC31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23428</w:t>
            </w:r>
          </w:p>
        </w:tc>
      </w:tr>
    </w:tbl>
    <w:p w14:paraId="5BF31871" w14:textId="77777777" w:rsidR="00624D52" w:rsidRDefault="00624D52" w:rsidP="00FD76C3">
      <w:pPr>
        <w:pStyle w:val="zadopise"/>
      </w:pPr>
    </w:p>
    <w:p w14:paraId="15AE2FEF" w14:textId="77777777" w:rsidR="00AA2EAC" w:rsidRDefault="00AA2EAC" w:rsidP="00FD76C3">
      <w:pPr>
        <w:pStyle w:val="zadopise"/>
      </w:pPr>
    </w:p>
    <w:p w14:paraId="34EF879D" w14:textId="2A9E51CB" w:rsidR="00982DAF" w:rsidRDefault="00982DAF" w:rsidP="00FD76C3">
      <w:pPr>
        <w:pStyle w:val="zadopise"/>
      </w:pPr>
      <w:r>
        <w:t xml:space="preserve">Po </w:t>
      </w:r>
      <w:r w:rsidR="00665CA4">
        <w:t>uplati</w:t>
      </w:r>
      <w:r>
        <w:t xml:space="preserve"> sredstava zajma od međunarodne financijske institucije</w:t>
      </w:r>
      <w:r w:rsidR="00665CA4">
        <w:t xml:space="preserve"> u državni proračun, korisnik projekta </w:t>
      </w:r>
      <w:r w:rsidR="00EB6F71">
        <w:t xml:space="preserve">(u primjeru nadležno ministarstvo) </w:t>
      </w:r>
      <w:r w:rsidR="00665CA4">
        <w:t>ne iskazuje primitke od zaduživanja</w:t>
      </w:r>
      <w:r w:rsidR="002A33EE">
        <w:t>, obveze za primljene zajmove ni izdatke za otplatu zajma.</w:t>
      </w:r>
      <w:r w:rsidR="00665CA4">
        <w:t xml:space="preserve"> </w:t>
      </w:r>
    </w:p>
    <w:p w14:paraId="49370703" w14:textId="77777777" w:rsidR="00665CA4" w:rsidRDefault="00665CA4" w:rsidP="00FD76C3">
      <w:pPr>
        <w:pStyle w:val="zadopise"/>
      </w:pPr>
    </w:p>
    <w:p w14:paraId="15B2F8ED" w14:textId="61C08439" w:rsidR="0041335C" w:rsidRDefault="0041335C" w:rsidP="00FD76C3">
      <w:pPr>
        <w:pStyle w:val="zadopise"/>
      </w:pPr>
      <w:r>
        <w:t>Proračunski korisnik koji je iz sredst</w:t>
      </w:r>
      <w:r w:rsidR="00D33DBC">
        <w:t>a</w:t>
      </w:r>
      <w:r>
        <w:t xml:space="preserve">va zajma od međunarodne financijske institucije u okviru </w:t>
      </w:r>
      <w:proofErr w:type="spellStart"/>
      <w:r w:rsidR="00682BA5">
        <w:t>pod</w:t>
      </w:r>
      <w:r>
        <w:t>izvora</w:t>
      </w:r>
      <w:proofErr w:type="spellEnd"/>
      <w:r>
        <w:t xml:space="preserve"> </w:t>
      </w:r>
      <w:r w:rsidRPr="00440088">
        <w:rPr>
          <w:i/>
          <w:iCs/>
        </w:rPr>
        <w:t>82</w:t>
      </w:r>
      <w:r>
        <w:t xml:space="preserve"> dao </w:t>
      </w:r>
      <w:proofErr w:type="spellStart"/>
      <w:r>
        <w:t>podzajam</w:t>
      </w:r>
      <w:proofErr w:type="spellEnd"/>
      <w:r>
        <w:t xml:space="preserve"> izvanproračunskom korisniku </w:t>
      </w:r>
      <w:r w:rsidR="00391D72">
        <w:t>otplatu</w:t>
      </w:r>
      <w:r>
        <w:t xml:space="preserve"> zajma evidentira na sljedeći način</w:t>
      </w:r>
      <w:r w:rsidR="00391D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398"/>
        <w:gridCol w:w="1003"/>
        <w:gridCol w:w="936"/>
        <w:gridCol w:w="1119"/>
      </w:tblGrid>
      <w:tr w:rsidR="0041335C" w:rsidRPr="00A93210" w14:paraId="1D5D6987" w14:textId="77777777" w:rsidTr="0041335C">
        <w:trPr>
          <w:trHeight w:hRule="exact" w:val="340"/>
        </w:trPr>
        <w:tc>
          <w:tcPr>
            <w:tcW w:w="606" w:type="dxa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007D9" w14:textId="77777777" w:rsidR="0041335C" w:rsidRPr="00A93210" w:rsidRDefault="0041335C" w:rsidP="00F259FC">
            <w:pPr>
              <w:keepNext/>
              <w:tabs>
                <w:tab w:val="left" w:pos="567"/>
              </w:tabs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9E8C5" w14:textId="77777777" w:rsidR="0041335C" w:rsidRPr="00A93210" w:rsidRDefault="0041335C" w:rsidP="00F259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3BEB6" w14:textId="77777777" w:rsidR="0041335C" w:rsidRPr="00A93210" w:rsidRDefault="0041335C" w:rsidP="00F2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80A3B" w14:textId="77777777" w:rsidR="0041335C" w:rsidRPr="00A93210" w:rsidRDefault="0041335C" w:rsidP="00F2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Račun</w:t>
            </w:r>
          </w:p>
        </w:tc>
      </w:tr>
      <w:tr w:rsidR="0041335C" w:rsidRPr="00A93210" w14:paraId="3409F808" w14:textId="77777777" w:rsidTr="0041335C">
        <w:trPr>
          <w:trHeight w:hRule="exact" w:val="340"/>
        </w:trPr>
        <w:tc>
          <w:tcPr>
            <w:tcW w:w="606" w:type="dxa"/>
            <w:vMerge/>
            <w:vAlign w:val="center"/>
            <w:hideMark/>
          </w:tcPr>
          <w:p w14:paraId="23A62FB2" w14:textId="77777777" w:rsidR="0041335C" w:rsidRPr="00A93210" w:rsidRDefault="0041335C" w:rsidP="00F259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80765D" w14:textId="77777777" w:rsidR="0041335C" w:rsidRPr="00A93210" w:rsidRDefault="0041335C" w:rsidP="00F259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499831" w14:textId="77777777" w:rsidR="0041335C" w:rsidRPr="00A93210" w:rsidRDefault="0041335C" w:rsidP="00F2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0516F" w14:textId="77777777" w:rsidR="0041335C" w:rsidRPr="00A93210" w:rsidRDefault="0041335C" w:rsidP="00F2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Duguje</w:t>
            </w: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11405" w14:textId="77777777" w:rsidR="0041335C" w:rsidRPr="00A93210" w:rsidRDefault="0041335C" w:rsidP="00F2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Potražuje</w:t>
            </w:r>
          </w:p>
        </w:tc>
      </w:tr>
      <w:tr w:rsidR="00EB6F71" w:rsidRPr="00A93210" w14:paraId="58B14768" w14:textId="77777777" w:rsidTr="00B96803">
        <w:trPr>
          <w:trHeight w:val="660"/>
        </w:trPr>
        <w:tc>
          <w:tcPr>
            <w:tcW w:w="60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D1A40" w14:textId="77777777" w:rsidR="00EB6F71" w:rsidRPr="00A93210" w:rsidRDefault="00EB6F71" w:rsidP="00F259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9321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5172A" w14:textId="3475DD0B" w:rsidR="00EB6F71" w:rsidRPr="00A93210" w:rsidRDefault="00EB6F71" w:rsidP="004133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Povrat dijela (ukupnih) sredstava danog zajma iz državnog proračuna izvanproračunskom korisniku 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6814C" w14:textId="76656FFA" w:rsidR="00EB6F71" w:rsidRPr="00A93210" w:rsidRDefault="00EB6F71" w:rsidP="00F259FC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B0EAE" w14:textId="2CC639D1" w:rsidR="00EB6F71" w:rsidRPr="00A93210" w:rsidRDefault="00EB6F71" w:rsidP="00F2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91122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F33C2" w14:textId="50AE1696" w:rsidR="00EB6F71" w:rsidRPr="00A93210" w:rsidRDefault="00EB6F71" w:rsidP="00F2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13762</w:t>
            </w:r>
          </w:p>
        </w:tc>
      </w:tr>
    </w:tbl>
    <w:p w14:paraId="7B3E633E" w14:textId="7B6BCDB7" w:rsidR="005B7506" w:rsidRDefault="005B7506" w:rsidP="00FD76C3">
      <w:pPr>
        <w:pStyle w:val="zadopise"/>
      </w:pPr>
    </w:p>
    <w:p w14:paraId="71BFEA7A" w14:textId="6A93340B" w:rsidR="00EB6F71" w:rsidRDefault="00EB6F71" w:rsidP="00FD76C3">
      <w:pPr>
        <w:pStyle w:val="zadopise"/>
      </w:pPr>
    </w:p>
    <w:p w14:paraId="2C406F3A" w14:textId="77777777" w:rsidR="00EB6F71" w:rsidRDefault="00EB6F71" w:rsidP="00FD76C3">
      <w:pPr>
        <w:pStyle w:val="zadopise"/>
      </w:pPr>
    </w:p>
    <w:p w14:paraId="453C0DF2" w14:textId="77777777" w:rsidR="00665CA4" w:rsidRPr="00D41AF0" w:rsidRDefault="00665CA4" w:rsidP="005B7506">
      <w:pPr>
        <w:pStyle w:val="zadopise"/>
        <w:keepNext/>
        <w:numPr>
          <w:ilvl w:val="3"/>
          <w:numId w:val="11"/>
        </w:numPr>
        <w:ind w:left="1276" w:hanging="916"/>
        <w:outlineLvl w:val="3"/>
        <w:rPr>
          <w:b/>
        </w:rPr>
      </w:pPr>
      <w:bookmarkStart w:id="16" w:name="_Toc40882810"/>
      <w:r w:rsidRPr="00D41AF0">
        <w:rPr>
          <w:b/>
        </w:rPr>
        <w:t>Evidencije u Glavnoj knjizi državnog proračuna</w:t>
      </w:r>
      <w:bookmarkEnd w:id="16"/>
    </w:p>
    <w:p w14:paraId="2BEFCAB1" w14:textId="77777777" w:rsidR="00665CA4" w:rsidRDefault="00665CA4" w:rsidP="00665CA4">
      <w:pPr>
        <w:pStyle w:val="zadopise"/>
        <w:keepNext/>
      </w:pPr>
    </w:p>
    <w:p w14:paraId="293FB09C" w14:textId="167B7A60" w:rsidR="00665CA4" w:rsidRDefault="00665CA4" w:rsidP="00665CA4">
      <w:pPr>
        <w:pStyle w:val="zadopise"/>
      </w:pPr>
      <w:r w:rsidRPr="008F6C44">
        <w:t xml:space="preserve">U </w:t>
      </w:r>
      <w:r>
        <w:t xml:space="preserve">Glavnoj knjizi </w:t>
      </w:r>
      <w:r w:rsidR="002A33EE">
        <w:t xml:space="preserve">i financijskom izvještaju </w:t>
      </w:r>
      <w:r>
        <w:t>državnog proračuna</w:t>
      </w:r>
      <w:r w:rsidRPr="008F6C44">
        <w:t xml:space="preserve"> evidentiraju se</w:t>
      </w:r>
      <w:r>
        <w:t>:</w:t>
      </w:r>
    </w:p>
    <w:p w14:paraId="4AF3F83A" w14:textId="76111414" w:rsidR="00665CA4" w:rsidRDefault="00665CA4" w:rsidP="00665CA4">
      <w:pPr>
        <w:pStyle w:val="zadopise"/>
        <w:numPr>
          <w:ilvl w:val="0"/>
          <w:numId w:val="21"/>
        </w:numPr>
      </w:pPr>
      <w:r>
        <w:t xml:space="preserve">primici od zaduživanja </w:t>
      </w:r>
      <w:r w:rsidR="002A33EE">
        <w:t>kod međunarodnih financijskih institucija</w:t>
      </w:r>
    </w:p>
    <w:p w14:paraId="0B670F04" w14:textId="3C4E27BA" w:rsidR="00665CA4" w:rsidRDefault="00665CA4" w:rsidP="00665CA4">
      <w:pPr>
        <w:pStyle w:val="zadopise"/>
        <w:numPr>
          <w:ilvl w:val="0"/>
          <w:numId w:val="21"/>
        </w:numPr>
      </w:pPr>
      <w:r>
        <w:t xml:space="preserve">obveze za zajmove </w:t>
      </w:r>
    </w:p>
    <w:p w14:paraId="0BB7C4BA" w14:textId="77777777" w:rsidR="00665CA4" w:rsidRDefault="00665CA4" w:rsidP="00665CA4">
      <w:pPr>
        <w:pStyle w:val="zadopise"/>
        <w:numPr>
          <w:ilvl w:val="0"/>
          <w:numId w:val="21"/>
        </w:numPr>
      </w:pPr>
      <w:r>
        <w:t>izdaci za otplatu glavnice primljenih zajmova</w:t>
      </w:r>
    </w:p>
    <w:p w14:paraId="0E50CA80" w14:textId="77777777" w:rsidR="00EB6F71" w:rsidRDefault="00665CA4" w:rsidP="00665CA4">
      <w:pPr>
        <w:pStyle w:val="zadopise"/>
        <w:numPr>
          <w:ilvl w:val="0"/>
          <w:numId w:val="21"/>
        </w:numPr>
      </w:pPr>
      <w:r>
        <w:t>rashodi za kamate za primljene zajmove od međunarodnih financijskih institucija</w:t>
      </w:r>
    </w:p>
    <w:p w14:paraId="25D75E30" w14:textId="77777777" w:rsidR="00ED4E78" w:rsidRDefault="00EB6F71" w:rsidP="00665CA4">
      <w:pPr>
        <w:pStyle w:val="zadopise"/>
        <w:numPr>
          <w:ilvl w:val="0"/>
          <w:numId w:val="21"/>
        </w:numPr>
      </w:pPr>
      <w:r>
        <w:t xml:space="preserve">primici od povrata </w:t>
      </w:r>
      <w:proofErr w:type="spellStart"/>
      <w:r>
        <w:t>podzajma</w:t>
      </w:r>
      <w:proofErr w:type="spellEnd"/>
    </w:p>
    <w:p w14:paraId="2402D6DC" w14:textId="19432656" w:rsidR="00665CA4" w:rsidRPr="008F6C44" w:rsidRDefault="00ED4E78" w:rsidP="00665CA4">
      <w:pPr>
        <w:pStyle w:val="zadopise"/>
        <w:numPr>
          <w:ilvl w:val="0"/>
          <w:numId w:val="21"/>
        </w:numPr>
      </w:pPr>
      <w:r>
        <w:t xml:space="preserve">prihodi od kamata za dane </w:t>
      </w:r>
      <w:proofErr w:type="spellStart"/>
      <w:r>
        <w:t>podzajmove</w:t>
      </w:r>
      <w:proofErr w:type="spellEnd"/>
      <w:r w:rsidR="00665CA4">
        <w:t>.</w:t>
      </w:r>
    </w:p>
    <w:p w14:paraId="71E816F1" w14:textId="77777777" w:rsidR="00FD76C3" w:rsidRPr="00FD76C3" w:rsidRDefault="00FD76C3" w:rsidP="00665CA4">
      <w:pPr>
        <w:pStyle w:val="zadopise"/>
        <w:rPr>
          <w:b/>
        </w:rPr>
      </w:pPr>
    </w:p>
    <w:sectPr w:rsidR="00FD76C3" w:rsidRPr="00FD76C3" w:rsidSect="00504E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FB2E" w16cex:dateUtc="2020-12-14T13:54:00Z"/>
  <w16cex:commentExtensible w16cex:durableId="238207D7" w16cex:dateUtc="2020-12-14T14:48:00Z"/>
  <w16cex:commentExtensible w16cex:durableId="23820FA9" w16cex:dateUtc="2020-12-14T15:22:00Z"/>
  <w16cex:commentExtensible w16cex:durableId="2382185A" w16cex:dateUtc="2020-12-14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A44F97" w16cid:durableId="2381FB2E"/>
  <w16cid:commentId w16cid:paraId="5F021187" w16cid:durableId="238207D7"/>
  <w16cid:commentId w16cid:paraId="04B61E4A" w16cid:durableId="23820FA9"/>
  <w16cid:commentId w16cid:paraId="64D2D0CC" w16cid:durableId="238218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4344" w14:textId="77777777" w:rsidR="002374B9" w:rsidRDefault="002374B9" w:rsidP="005F7AAE">
      <w:pPr>
        <w:spacing w:after="0" w:line="240" w:lineRule="auto"/>
      </w:pPr>
      <w:r>
        <w:separator/>
      </w:r>
    </w:p>
  </w:endnote>
  <w:endnote w:type="continuationSeparator" w:id="0">
    <w:p w14:paraId="7C009FB0" w14:textId="77777777" w:rsidR="002374B9" w:rsidRDefault="002374B9" w:rsidP="005F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82674"/>
      <w:docPartObj>
        <w:docPartGallery w:val="Page Numbers (Bottom of Page)"/>
        <w:docPartUnique/>
      </w:docPartObj>
    </w:sdtPr>
    <w:sdtEndPr/>
    <w:sdtContent>
      <w:p w14:paraId="64DED4DE" w14:textId="277AE2C8" w:rsidR="00C06900" w:rsidRDefault="00C069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0B">
          <w:rPr>
            <w:noProof/>
          </w:rPr>
          <w:t>2</w:t>
        </w:r>
        <w:r>
          <w:fldChar w:fldCharType="end"/>
        </w:r>
      </w:p>
    </w:sdtContent>
  </w:sdt>
  <w:p w14:paraId="3D2A7F6A" w14:textId="77777777" w:rsidR="00F71DEC" w:rsidRDefault="00F71D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580F" w14:textId="77777777" w:rsidR="002374B9" w:rsidRDefault="002374B9" w:rsidP="005F7AAE">
      <w:pPr>
        <w:spacing w:after="0" w:line="240" w:lineRule="auto"/>
      </w:pPr>
      <w:r>
        <w:separator/>
      </w:r>
    </w:p>
  </w:footnote>
  <w:footnote w:type="continuationSeparator" w:id="0">
    <w:p w14:paraId="05F054C8" w14:textId="77777777" w:rsidR="002374B9" w:rsidRDefault="002374B9" w:rsidP="005F7AAE">
      <w:pPr>
        <w:spacing w:after="0" w:line="240" w:lineRule="auto"/>
      </w:pPr>
      <w:r>
        <w:continuationSeparator/>
      </w:r>
    </w:p>
  </w:footnote>
  <w:footnote w:id="1">
    <w:p w14:paraId="064A3615" w14:textId="77777777" w:rsidR="00092A57" w:rsidRPr="00092A57" w:rsidRDefault="00092A57">
      <w:pPr>
        <w:pStyle w:val="Tekstfusnote"/>
        <w:rPr>
          <w:rFonts w:ascii="Times New Roman" w:hAnsi="Times New Roman" w:cs="Times New Roman"/>
        </w:rPr>
      </w:pPr>
      <w:r w:rsidRPr="00092A57">
        <w:rPr>
          <w:rStyle w:val="Referencafusnote"/>
          <w:rFonts w:ascii="Times New Roman" w:hAnsi="Times New Roman" w:cs="Times New Roman"/>
        </w:rPr>
        <w:footnoteRef/>
      </w:r>
      <w:r w:rsidRPr="00092A57">
        <w:rPr>
          <w:rFonts w:ascii="Times New Roman" w:hAnsi="Times New Roman" w:cs="Times New Roman"/>
        </w:rPr>
        <w:t xml:space="preserve"> Uprava za makroekonomske analize, EU i međunarodne financijske odnose</w:t>
      </w:r>
    </w:p>
  </w:footnote>
  <w:footnote w:id="2">
    <w:p w14:paraId="5DE46A7B" w14:textId="2806B246" w:rsidR="000815F2" w:rsidRPr="000815F2" w:rsidRDefault="000815F2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 w:rsidRPr="009C147D">
        <w:rPr>
          <w:rFonts w:ascii="Times New Roman" w:hAnsi="Times New Roman" w:cs="Times New Roman"/>
        </w:rPr>
        <w:t xml:space="preserve"> </w:t>
      </w:r>
      <w:r w:rsidRPr="00143F84">
        <w:rPr>
          <w:rFonts w:ascii="Times New Roman" w:hAnsi="Times New Roman" w:cs="Times New Roman"/>
        </w:rPr>
        <w:t xml:space="preserve">Radi se o </w:t>
      </w:r>
      <w:r w:rsidR="009C147D" w:rsidRPr="00143F84">
        <w:rPr>
          <w:rFonts w:ascii="Times New Roman" w:hAnsi="Times New Roman" w:cs="Times New Roman"/>
        </w:rPr>
        <w:t xml:space="preserve">izdacima za dane </w:t>
      </w:r>
      <w:r w:rsidR="009C147D">
        <w:rPr>
          <w:rFonts w:ascii="Times New Roman" w:hAnsi="Times New Roman" w:cs="Times New Roman"/>
        </w:rPr>
        <w:t>zajmove, koje p</w:t>
      </w:r>
      <w:r w:rsidRPr="009C147D">
        <w:rPr>
          <w:rFonts w:ascii="Times New Roman" w:hAnsi="Times New Roman" w:cs="Times New Roman"/>
        </w:rPr>
        <w:t xml:space="preserve">roračunski korisnici mogu </w:t>
      </w:r>
      <w:r w:rsidR="009C147D">
        <w:rPr>
          <w:rFonts w:ascii="Times New Roman" w:hAnsi="Times New Roman" w:cs="Times New Roman"/>
        </w:rPr>
        <w:t xml:space="preserve">financirati </w:t>
      </w:r>
      <w:r w:rsidRPr="009C147D">
        <w:rPr>
          <w:rFonts w:ascii="Times New Roman" w:hAnsi="Times New Roman" w:cs="Times New Roman"/>
        </w:rPr>
        <w:t xml:space="preserve">iz sredstava zajma ako </w:t>
      </w:r>
      <w:r w:rsidR="009C147D">
        <w:rPr>
          <w:rFonts w:ascii="Times New Roman" w:hAnsi="Times New Roman" w:cs="Times New Roman"/>
        </w:rPr>
        <w:t>je tako određeno ugovorom.</w:t>
      </w:r>
      <w:r w:rsidR="0063593B">
        <w:rPr>
          <w:rFonts w:ascii="Times New Roman" w:hAnsi="Times New Roman" w:cs="Times New Roman"/>
        </w:rPr>
        <w:t xml:space="preserve"> </w:t>
      </w:r>
    </w:p>
  </w:footnote>
  <w:footnote w:id="3">
    <w:p w14:paraId="49F1106D" w14:textId="30CFE16E" w:rsidR="000815F2" w:rsidRPr="000815F2" w:rsidRDefault="000815F2" w:rsidP="000815F2">
      <w:pPr>
        <w:pStyle w:val="Tekstfusnote"/>
        <w:rPr>
          <w:rFonts w:ascii="Times New Roman" w:hAnsi="Times New Roman" w:cs="Times New Roman"/>
        </w:rPr>
      </w:pPr>
      <w:r w:rsidRPr="000815F2">
        <w:rPr>
          <w:rStyle w:val="Referencafusnote"/>
          <w:rFonts w:ascii="Times New Roman" w:hAnsi="Times New Roman" w:cs="Times New Roman"/>
        </w:rPr>
        <w:footnoteRef/>
      </w:r>
      <w:r w:rsidRPr="000815F2">
        <w:rPr>
          <w:rFonts w:ascii="Times New Roman" w:hAnsi="Times New Roman" w:cs="Times New Roman"/>
        </w:rPr>
        <w:t xml:space="preserve"> </w:t>
      </w:r>
      <w:r w:rsidRPr="000815F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isti</w:t>
      </w:r>
      <w:r w:rsidRPr="000815F2">
        <w:rPr>
          <w:rFonts w:ascii="Times New Roman" w:hAnsi="Times New Roman" w:cs="Times New Roman"/>
        </w:rPr>
        <w:t xml:space="preserve"> način evidentiraju se i direktna plaćanja </w:t>
      </w:r>
      <w:r>
        <w:rPr>
          <w:rFonts w:ascii="Times New Roman" w:hAnsi="Times New Roman" w:cs="Times New Roman"/>
        </w:rPr>
        <w:t>(</w:t>
      </w:r>
      <w:r w:rsidRPr="000815F2">
        <w:rPr>
          <w:rFonts w:ascii="Times New Roman" w:hAnsi="Times New Roman" w:cs="Times New Roman"/>
        </w:rPr>
        <w:t xml:space="preserve">direktno s računa međunarodne institucije koja je odobrila zajam podmiruju </w:t>
      </w:r>
      <w:r w:rsidR="00007D75">
        <w:rPr>
          <w:rFonts w:ascii="Times New Roman" w:hAnsi="Times New Roman" w:cs="Times New Roman"/>
        </w:rPr>
        <w:t xml:space="preserve">se </w:t>
      </w:r>
      <w:r w:rsidRPr="000815F2">
        <w:rPr>
          <w:rFonts w:ascii="Times New Roman" w:hAnsi="Times New Roman" w:cs="Times New Roman"/>
        </w:rPr>
        <w:t>obveze za projekt dobavljačima bilo u zemlji ili inozemstvu,</w:t>
      </w:r>
      <w:r>
        <w:rPr>
          <w:rFonts w:ascii="Times New Roman" w:hAnsi="Times New Roman" w:cs="Times New Roman"/>
        </w:rPr>
        <w:t xml:space="preserve"> </w:t>
      </w:r>
      <w:r w:rsidRPr="000815F2">
        <w:rPr>
          <w:rFonts w:ascii="Times New Roman" w:hAnsi="Times New Roman" w:cs="Times New Roman"/>
        </w:rPr>
        <w:t xml:space="preserve">dakle bez </w:t>
      </w:r>
      <w:r>
        <w:rPr>
          <w:rFonts w:ascii="Times New Roman" w:hAnsi="Times New Roman" w:cs="Times New Roman"/>
        </w:rPr>
        <w:t>novčanog tijeka na specijalnom</w:t>
      </w:r>
      <w:r w:rsidRPr="000815F2">
        <w:rPr>
          <w:rFonts w:ascii="Times New Roman" w:hAnsi="Times New Roman" w:cs="Times New Roman"/>
        </w:rPr>
        <w:t xml:space="preserve"> račun</w:t>
      </w:r>
      <w:r>
        <w:rPr>
          <w:rFonts w:ascii="Times New Roman" w:hAnsi="Times New Roman" w:cs="Times New Roman"/>
        </w:rPr>
        <w:t>u)</w:t>
      </w:r>
      <w:r w:rsidRPr="000815F2">
        <w:rPr>
          <w:rFonts w:ascii="Times New Roman" w:hAnsi="Times New Roman" w:cs="Times New Roman"/>
        </w:rPr>
        <w:t>.</w:t>
      </w:r>
    </w:p>
  </w:footnote>
  <w:footnote w:id="4">
    <w:p w14:paraId="22CD9106" w14:textId="29E76BE2" w:rsidR="009C147D" w:rsidRDefault="009C147D">
      <w:pPr>
        <w:pStyle w:val="Tekstfusnote"/>
      </w:pPr>
      <w:r>
        <w:rPr>
          <w:rStyle w:val="Referencafusnote"/>
        </w:rPr>
        <w:footnoteRef/>
      </w:r>
      <w:r w:rsidRPr="009C147D">
        <w:rPr>
          <w:rFonts w:ascii="Times New Roman" w:hAnsi="Times New Roman" w:cs="Times New Roman"/>
        </w:rPr>
        <w:t xml:space="preserve"> </w:t>
      </w:r>
      <w:r w:rsidRPr="009C147D">
        <w:rPr>
          <w:rFonts w:ascii="Times New Roman" w:hAnsi="Times New Roman" w:cs="Times New Roman"/>
        </w:rPr>
        <w:t>Radi se o izdacima za dane zajmove, koje proračunski korisnici mogu financirati iz sredstava zajma ako je tako određeno ugovorom.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90"/>
    <w:multiLevelType w:val="multilevel"/>
    <w:tmpl w:val="35183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C125C7"/>
    <w:multiLevelType w:val="hybridMultilevel"/>
    <w:tmpl w:val="FEE2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E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73A1B"/>
    <w:multiLevelType w:val="hybridMultilevel"/>
    <w:tmpl w:val="955672E0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4B67"/>
    <w:multiLevelType w:val="hybridMultilevel"/>
    <w:tmpl w:val="24461A42"/>
    <w:lvl w:ilvl="0" w:tplc="8760FDF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1770"/>
    <w:multiLevelType w:val="hybridMultilevel"/>
    <w:tmpl w:val="D6F8A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B3E"/>
    <w:multiLevelType w:val="hybridMultilevel"/>
    <w:tmpl w:val="4D9CB35C"/>
    <w:lvl w:ilvl="0" w:tplc="D658A1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6963"/>
    <w:multiLevelType w:val="hybridMultilevel"/>
    <w:tmpl w:val="8C16C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791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A7719D"/>
    <w:multiLevelType w:val="hybridMultilevel"/>
    <w:tmpl w:val="DC6A666A"/>
    <w:lvl w:ilvl="0" w:tplc="2950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5BCD"/>
    <w:multiLevelType w:val="hybridMultilevel"/>
    <w:tmpl w:val="AA82C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A2BF0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694A"/>
    <w:multiLevelType w:val="hybridMultilevel"/>
    <w:tmpl w:val="3676D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43B91"/>
    <w:multiLevelType w:val="hybridMultilevel"/>
    <w:tmpl w:val="BF12A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4451B"/>
    <w:multiLevelType w:val="hybridMultilevel"/>
    <w:tmpl w:val="C7102AB0"/>
    <w:lvl w:ilvl="0" w:tplc="FF028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16C9"/>
    <w:multiLevelType w:val="hybridMultilevel"/>
    <w:tmpl w:val="A9D86176"/>
    <w:lvl w:ilvl="0" w:tplc="8760FDF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A6F9C"/>
    <w:multiLevelType w:val="hybridMultilevel"/>
    <w:tmpl w:val="EF08A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E5F45"/>
    <w:multiLevelType w:val="hybridMultilevel"/>
    <w:tmpl w:val="4C1AF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38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CA6BAF"/>
    <w:multiLevelType w:val="hybridMultilevel"/>
    <w:tmpl w:val="BB0C5D1A"/>
    <w:lvl w:ilvl="0" w:tplc="FF028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82005"/>
    <w:multiLevelType w:val="hybridMultilevel"/>
    <w:tmpl w:val="30627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5D15"/>
    <w:multiLevelType w:val="hybridMultilevel"/>
    <w:tmpl w:val="6A42DBC8"/>
    <w:lvl w:ilvl="0" w:tplc="FF028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76009"/>
    <w:multiLevelType w:val="multilevel"/>
    <w:tmpl w:val="4B1CEF70"/>
    <w:lvl w:ilvl="0">
      <w:start w:val="1"/>
      <w:numFmt w:val="decimal"/>
      <w:lvlText w:val="%1."/>
      <w:lvlJc w:val="left"/>
      <w:pPr>
        <w:ind w:left="1134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5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02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cs="Times New Roman" w:hint="default"/>
      </w:rPr>
    </w:lvl>
    <w:lvl w:ilvl="6">
      <w:start w:val="1"/>
      <w:numFmt w:val="decimal"/>
      <w:lvlText w:val="Prilog 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9"/>
  </w:num>
  <w:num w:numId="18">
    <w:abstractNumId w:val="2"/>
  </w:num>
  <w:num w:numId="19">
    <w:abstractNumId w:val="8"/>
  </w:num>
  <w:num w:numId="20">
    <w:abstractNumId w:val="7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2"/>
    <w:rsid w:val="00003B4F"/>
    <w:rsid w:val="00007D75"/>
    <w:rsid w:val="00026435"/>
    <w:rsid w:val="000369D2"/>
    <w:rsid w:val="00071044"/>
    <w:rsid w:val="000815F2"/>
    <w:rsid w:val="00092A57"/>
    <w:rsid w:val="0009372A"/>
    <w:rsid w:val="000A3E05"/>
    <w:rsid w:val="000D563A"/>
    <w:rsid w:val="000E4B81"/>
    <w:rsid w:val="000F7ABF"/>
    <w:rsid w:val="00143F84"/>
    <w:rsid w:val="00157AF1"/>
    <w:rsid w:val="00157E87"/>
    <w:rsid w:val="00174016"/>
    <w:rsid w:val="00190952"/>
    <w:rsid w:val="001935D8"/>
    <w:rsid w:val="001F3233"/>
    <w:rsid w:val="00232174"/>
    <w:rsid w:val="002374B9"/>
    <w:rsid w:val="002A33EE"/>
    <w:rsid w:val="002D6341"/>
    <w:rsid w:val="002E036D"/>
    <w:rsid w:val="002F2DF9"/>
    <w:rsid w:val="003036F6"/>
    <w:rsid w:val="00314070"/>
    <w:rsid w:val="00316704"/>
    <w:rsid w:val="0032630A"/>
    <w:rsid w:val="0034209E"/>
    <w:rsid w:val="00343D54"/>
    <w:rsid w:val="00352C5B"/>
    <w:rsid w:val="00356A82"/>
    <w:rsid w:val="00382AA8"/>
    <w:rsid w:val="00391D72"/>
    <w:rsid w:val="003A2A4C"/>
    <w:rsid w:val="003A68B7"/>
    <w:rsid w:val="003E6C32"/>
    <w:rsid w:val="003F16C7"/>
    <w:rsid w:val="00400066"/>
    <w:rsid w:val="0041335C"/>
    <w:rsid w:val="00422A2A"/>
    <w:rsid w:val="00426030"/>
    <w:rsid w:val="004340A9"/>
    <w:rsid w:val="00440088"/>
    <w:rsid w:val="00441E1E"/>
    <w:rsid w:val="0044403E"/>
    <w:rsid w:val="004462B5"/>
    <w:rsid w:val="00447D24"/>
    <w:rsid w:val="00461059"/>
    <w:rsid w:val="00461C96"/>
    <w:rsid w:val="00464780"/>
    <w:rsid w:val="004B24EC"/>
    <w:rsid w:val="00500AE7"/>
    <w:rsid w:val="00504E03"/>
    <w:rsid w:val="00526200"/>
    <w:rsid w:val="00544B6E"/>
    <w:rsid w:val="005560CB"/>
    <w:rsid w:val="00572462"/>
    <w:rsid w:val="005B0D2F"/>
    <w:rsid w:val="005B29ED"/>
    <w:rsid w:val="005B7506"/>
    <w:rsid w:val="005C01D6"/>
    <w:rsid w:val="005C3F7C"/>
    <w:rsid w:val="005C6530"/>
    <w:rsid w:val="005C6B3F"/>
    <w:rsid w:val="005F5722"/>
    <w:rsid w:val="005F7AAE"/>
    <w:rsid w:val="00605D0A"/>
    <w:rsid w:val="006105F7"/>
    <w:rsid w:val="00623322"/>
    <w:rsid w:val="00624D52"/>
    <w:rsid w:val="006278C9"/>
    <w:rsid w:val="0063593B"/>
    <w:rsid w:val="00660CEA"/>
    <w:rsid w:val="00665CA4"/>
    <w:rsid w:val="00682BA5"/>
    <w:rsid w:val="006931FD"/>
    <w:rsid w:val="006A66AC"/>
    <w:rsid w:val="006B5104"/>
    <w:rsid w:val="00707494"/>
    <w:rsid w:val="00732026"/>
    <w:rsid w:val="00734134"/>
    <w:rsid w:val="00751A0A"/>
    <w:rsid w:val="00763544"/>
    <w:rsid w:val="00794D57"/>
    <w:rsid w:val="007B24D9"/>
    <w:rsid w:val="007B6AA7"/>
    <w:rsid w:val="007B7785"/>
    <w:rsid w:val="007D48E7"/>
    <w:rsid w:val="00800284"/>
    <w:rsid w:val="00803E5C"/>
    <w:rsid w:val="00821232"/>
    <w:rsid w:val="00833C6D"/>
    <w:rsid w:val="00861F11"/>
    <w:rsid w:val="008D07F6"/>
    <w:rsid w:val="008F6C44"/>
    <w:rsid w:val="00900E85"/>
    <w:rsid w:val="00905FCE"/>
    <w:rsid w:val="009170C4"/>
    <w:rsid w:val="00925934"/>
    <w:rsid w:val="009603F6"/>
    <w:rsid w:val="0096624E"/>
    <w:rsid w:val="00982DAF"/>
    <w:rsid w:val="00991D0C"/>
    <w:rsid w:val="009A10E9"/>
    <w:rsid w:val="009B03B2"/>
    <w:rsid w:val="009C147D"/>
    <w:rsid w:val="009F459E"/>
    <w:rsid w:val="009F74AB"/>
    <w:rsid w:val="00A05689"/>
    <w:rsid w:val="00A4222C"/>
    <w:rsid w:val="00A42566"/>
    <w:rsid w:val="00A6387F"/>
    <w:rsid w:val="00A857C4"/>
    <w:rsid w:val="00A90883"/>
    <w:rsid w:val="00A93210"/>
    <w:rsid w:val="00AA26D2"/>
    <w:rsid w:val="00AA2EAC"/>
    <w:rsid w:val="00AC454E"/>
    <w:rsid w:val="00AF33B3"/>
    <w:rsid w:val="00B000C0"/>
    <w:rsid w:val="00B0638E"/>
    <w:rsid w:val="00B111F0"/>
    <w:rsid w:val="00B54057"/>
    <w:rsid w:val="00B56CF6"/>
    <w:rsid w:val="00B64B1F"/>
    <w:rsid w:val="00B84FDE"/>
    <w:rsid w:val="00B85275"/>
    <w:rsid w:val="00B95A56"/>
    <w:rsid w:val="00BC6C70"/>
    <w:rsid w:val="00BE0FF0"/>
    <w:rsid w:val="00BE3D0B"/>
    <w:rsid w:val="00BF1CF6"/>
    <w:rsid w:val="00BF3F6C"/>
    <w:rsid w:val="00C0339A"/>
    <w:rsid w:val="00C06900"/>
    <w:rsid w:val="00C20805"/>
    <w:rsid w:val="00C70144"/>
    <w:rsid w:val="00C80EFB"/>
    <w:rsid w:val="00C82D32"/>
    <w:rsid w:val="00CA7AF3"/>
    <w:rsid w:val="00CD0EF0"/>
    <w:rsid w:val="00CD1172"/>
    <w:rsid w:val="00CD1EC3"/>
    <w:rsid w:val="00CF7924"/>
    <w:rsid w:val="00D33DBC"/>
    <w:rsid w:val="00D35FA5"/>
    <w:rsid w:val="00D41AF0"/>
    <w:rsid w:val="00D50688"/>
    <w:rsid w:val="00D75E52"/>
    <w:rsid w:val="00DE5AB9"/>
    <w:rsid w:val="00DE6E96"/>
    <w:rsid w:val="00E000E4"/>
    <w:rsid w:val="00E0476B"/>
    <w:rsid w:val="00E173CA"/>
    <w:rsid w:val="00E818B9"/>
    <w:rsid w:val="00E868ED"/>
    <w:rsid w:val="00EA1135"/>
    <w:rsid w:val="00EB6F71"/>
    <w:rsid w:val="00EC79A9"/>
    <w:rsid w:val="00ED4E78"/>
    <w:rsid w:val="00EE08A2"/>
    <w:rsid w:val="00EF42CC"/>
    <w:rsid w:val="00F069F1"/>
    <w:rsid w:val="00F271FE"/>
    <w:rsid w:val="00F27868"/>
    <w:rsid w:val="00F3702C"/>
    <w:rsid w:val="00F64EFB"/>
    <w:rsid w:val="00F71DEC"/>
    <w:rsid w:val="00F83AF9"/>
    <w:rsid w:val="00F962B4"/>
    <w:rsid w:val="00FB26FA"/>
    <w:rsid w:val="00FC65AF"/>
    <w:rsid w:val="00FD0014"/>
    <w:rsid w:val="00FD76C3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C52B6"/>
  <w15:docId w15:val="{5B29436E-318D-42CF-87A2-396502A7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BF"/>
  </w:style>
  <w:style w:type="paragraph" w:styleId="Naslov1">
    <w:name w:val="heading 1"/>
    <w:basedOn w:val="Normal"/>
    <w:next w:val="Normal"/>
    <w:link w:val="Naslov1Char"/>
    <w:uiPriority w:val="9"/>
    <w:qFormat/>
    <w:rsid w:val="00794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F7A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sadnistil">
    <w:name w:val="dosadni stil"/>
    <w:basedOn w:val="Normal"/>
    <w:qFormat/>
    <w:rsid w:val="00CA7AF3"/>
    <w:pPr>
      <w:spacing w:after="0" w:line="240" w:lineRule="auto"/>
      <w:jc w:val="both"/>
    </w:pPr>
    <w:rPr>
      <w:rFonts w:ascii="Times New Roman" w:eastAsiaTheme="minorEastAsia" w:hAnsi="Times New Roman"/>
      <w:sz w:val="24"/>
    </w:rPr>
  </w:style>
  <w:style w:type="paragraph" w:customStyle="1" w:styleId="zadopise">
    <w:name w:val="za dopise"/>
    <w:basedOn w:val="Normal"/>
    <w:link w:val="zadopiseChar"/>
    <w:qFormat/>
    <w:rsid w:val="00605D0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adopiseChar">
    <w:name w:val="za dopise Char"/>
    <w:basedOn w:val="Zadanifontodlomka"/>
    <w:link w:val="zadopise"/>
    <w:rsid w:val="00605D0A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4440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68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5F7AAE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ekstfusnote">
    <w:name w:val="footnote text"/>
    <w:basedOn w:val="Normal"/>
    <w:link w:val="TekstfusnoteChar"/>
    <w:rsid w:val="005F7AAE"/>
    <w:pPr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F7AAE"/>
    <w:rPr>
      <w:rFonts w:ascii="Arial" w:eastAsia="Times New Roman" w:hAnsi="Arial" w:cs="Arial"/>
      <w:snapToGrid w:val="0"/>
      <w:sz w:val="20"/>
      <w:szCs w:val="20"/>
    </w:rPr>
  </w:style>
  <w:style w:type="character" w:styleId="Referencafusnote">
    <w:name w:val="footnote reference"/>
    <w:rsid w:val="005F7AAE"/>
    <w:rPr>
      <w:vertAlign w:val="superscript"/>
    </w:rPr>
  </w:style>
  <w:style w:type="character" w:styleId="Hiperveza">
    <w:name w:val="Hyperlink"/>
    <w:uiPriority w:val="99"/>
    <w:rsid w:val="005F7AA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44B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44B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44B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4B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4B6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7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DEC"/>
  </w:style>
  <w:style w:type="paragraph" w:styleId="Podnoje">
    <w:name w:val="footer"/>
    <w:basedOn w:val="Normal"/>
    <w:link w:val="PodnojeChar"/>
    <w:uiPriority w:val="99"/>
    <w:unhideWhenUsed/>
    <w:rsid w:val="00F7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DEC"/>
  </w:style>
  <w:style w:type="paragraph" w:styleId="Sadraj1">
    <w:name w:val="toc 1"/>
    <w:basedOn w:val="Normal"/>
    <w:next w:val="Normal"/>
    <w:autoRedefine/>
    <w:uiPriority w:val="39"/>
    <w:unhideWhenUsed/>
    <w:rsid w:val="005B750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5B7506"/>
    <w:pPr>
      <w:spacing w:before="240" w:after="0"/>
    </w:pPr>
    <w:rPr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5B7506"/>
    <w:pPr>
      <w:spacing w:after="0"/>
      <w:ind w:left="22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C06900"/>
    <w:pPr>
      <w:spacing w:after="0"/>
      <w:ind w:left="44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C06900"/>
    <w:pPr>
      <w:spacing w:after="0"/>
      <w:ind w:left="6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C06900"/>
    <w:pPr>
      <w:spacing w:after="0"/>
      <w:ind w:left="88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C06900"/>
    <w:pPr>
      <w:spacing w:after="0"/>
      <w:ind w:left="110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C06900"/>
    <w:pPr>
      <w:spacing w:after="0"/>
      <w:ind w:left="132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C06900"/>
    <w:pPr>
      <w:spacing w:after="0"/>
      <w:ind w:left="1540"/>
    </w:pPr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794D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94D57"/>
    <w:pPr>
      <w:spacing w:line="259" w:lineRule="auto"/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29C1-4C12-48EF-A43D-388E9680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3551</Words>
  <Characters>20244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Martina Štefković</cp:lastModifiedBy>
  <cp:revision>7</cp:revision>
  <cp:lastPrinted>2020-05-22T05:56:00Z</cp:lastPrinted>
  <dcterms:created xsi:type="dcterms:W3CDTF">2021-03-29T14:08:00Z</dcterms:created>
  <dcterms:modified xsi:type="dcterms:W3CDTF">2021-04-26T09:46:00Z</dcterms:modified>
</cp:coreProperties>
</file>